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845"/>
      </w:pPr>
      <w:r>
        <w:rPr>
          <w:rFonts w:eastAsia="Calibri"/>
          <w:b/>
          <w:bCs/>
          <w:szCs w:val="28"/>
        </w:rPr>
        <w:t xml:space="preserve"> 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980955" cy="733273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21793838" name="Рисунок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>
                          <a:alphaModFix amt="100000"/>
                          <a:lum bright="0" contrast="0"/>
                        </a:blip>
                        <a:stretch/>
                      </pic:blipFill>
                      <pic:spPr bwMode="auto">
                        <a:xfrm>
                          <a:off x="0" y="0"/>
                          <a:ext cx="1980954" cy="733268"/>
                        </a:xfrm>
                        <a:prstGeom prst="rect">
                          <a:avLst/>
                        </a:prstGeom>
                        <a:effectLst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155.98pt;height:57.74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rFonts w:eastAsia="Calibri"/>
          <w:b/>
          <w:bCs/>
          <w:szCs w:val="28"/>
        </w:rPr>
        <w:t xml:space="preserve">                                                                      </w:t>
      </w:r>
      <w:r/>
    </w:p>
    <w:p>
      <w:pPr>
        <w:pStyle w:val="845"/>
        <w:rPr>
          <w:rFonts w:eastAsia="Calibri"/>
          <w:b/>
          <w:bCs/>
          <w:szCs w:val="28"/>
        </w:rPr>
      </w:pPr>
      <w:r>
        <w:rPr>
          <w:rFonts w:eastAsia="Calibri"/>
          <w:b/>
          <w:bCs/>
          <w:szCs w:val="28"/>
        </w:rPr>
      </w:r>
      <w:r>
        <w:rPr>
          <w:rFonts w:eastAsia="Calibri"/>
          <w:b/>
          <w:bCs/>
          <w:szCs w:val="28"/>
        </w:rPr>
      </w:r>
      <w:r>
        <w:rPr>
          <w:rFonts w:eastAsia="Calibri"/>
          <w:b/>
          <w:bCs/>
          <w:szCs w:val="28"/>
        </w:rPr>
      </w:r>
    </w:p>
    <w:p>
      <w:pPr>
        <w:pStyle w:val="845"/>
        <w:jc w:val="right"/>
      </w:pPr>
      <w:r>
        <w:rPr>
          <w:rFonts w:eastAsia="Calibri"/>
          <w:b/>
          <w:bCs/>
          <w:sz w:val="32"/>
          <w:szCs w:val="28"/>
        </w:rPr>
        <w:t xml:space="preserve">ПРЕСС-РЕЛИЗ</w:t>
      </w:r>
      <w:r/>
    </w:p>
    <w:p>
      <w:pPr>
        <w:pStyle w:val="845"/>
        <w:jc w:val="right"/>
      </w:pPr>
      <w:r>
        <w:rPr>
          <w:rFonts w:eastAsia="Calibri"/>
          <w:bCs/>
          <w:szCs w:val="28"/>
        </w:rPr>
        <w:t xml:space="preserve">09.01</w:t>
      </w:r>
      <w:r>
        <w:rPr>
          <w:rFonts w:eastAsia="Calibri"/>
          <w:bCs/>
          <w:szCs w:val="28"/>
        </w:rPr>
        <w:t xml:space="preserve">.2025</w:t>
      </w:r>
      <w:r/>
    </w:p>
    <w:p>
      <w:pPr>
        <w:pStyle w:val="845"/>
        <w:jc w:val="center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jc w:val="left"/>
        <w:rPr>
          <w:b/>
          <w:bCs/>
        </w:rPr>
      </w:pPr>
      <w:r>
        <w:rPr>
          <w:b/>
          <w:szCs w:val="28"/>
          <w:highlight w:val="none"/>
        </w:rPr>
      </w:r>
      <w:r>
        <w:rPr>
          <w:b/>
          <w:szCs w:val="28"/>
          <w:highlight w:val="none"/>
        </w:rPr>
      </w:r>
      <w:r>
        <w:rPr>
          <w:b/>
          <w:bCs/>
        </w:rPr>
      </w:r>
    </w:p>
    <w:p>
      <w:pPr>
        <w:jc w:val="left"/>
        <w:rPr>
          <w:b/>
          <w:bCs/>
          <w:highlight w:val="none"/>
        </w:rPr>
      </w:pPr>
      <w:r>
        <w:rPr>
          <w:b/>
          <w:szCs w:val="28"/>
        </w:rPr>
        <w:t xml:space="preserve">Итоги </w:t>
      </w:r>
      <w:r>
        <w:rPr>
          <w:b/>
          <w:szCs w:val="28"/>
        </w:rPr>
        <w:t xml:space="preserve">федерального </w:t>
      </w:r>
      <w:r>
        <w:rPr>
          <w:b/>
          <w:szCs w:val="28"/>
        </w:rPr>
        <w:t xml:space="preserve">государственного земельного </w:t>
      </w:r>
      <w:r>
        <w:rPr>
          <w:b/>
          <w:szCs w:val="28"/>
        </w:rPr>
        <w:t xml:space="preserve">контроля (</w:t>
      </w:r>
      <w:r>
        <w:rPr>
          <w:b/>
          <w:szCs w:val="28"/>
        </w:rPr>
        <w:t xml:space="preserve">надзора</w:t>
      </w:r>
      <w:r>
        <w:rPr>
          <w:b/>
          <w:szCs w:val="28"/>
        </w:rPr>
        <w:t xml:space="preserve">)</w:t>
      </w:r>
      <w:r>
        <w:rPr>
          <w:b/>
          <w:szCs w:val="28"/>
        </w:rPr>
        <w:t xml:space="preserve"> </w:t>
      </w:r>
      <w:bookmarkStart w:id="0" w:name="_GoBack"/>
      <w:r/>
      <w:bookmarkEnd w:id="0"/>
      <w:r>
        <w:rPr>
          <w:b/>
          <w:szCs w:val="28"/>
        </w:rPr>
        <w:t xml:space="preserve">за </w:t>
      </w:r>
      <w:r>
        <w:rPr>
          <w:b/>
          <w:szCs w:val="28"/>
        </w:rPr>
        <w:t xml:space="preserve">11</w:t>
      </w:r>
      <w:r>
        <w:rPr>
          <w:b/>
          <w:szCs w:val="28"/>
        </w:rPr>
        <w:t xml:space="preserve"> </w:t>
      </w:r>
      <w:r>
        <w:rPr>
          <w:b/>
          <w:szCs w:val="28"/>
        </w:rPr>
        <w:t xml:space="preserve">месяцев 2024 года</w:t>
      </w:r>
      <w:r>
        <w:rPr>
          <w:b/>
          <w:bCs/>
          <w:highlight w:val="none"/>
        </w:rPr>
      </w:r>
      <w:r>
        <w:rPr>
          <w:b/>
          <w:bCs/>
          <w:highlight w:val="none"/>
        </w:rPr>
      </w:r>
    </w:p>
    <w:p>
      <w:pPr>
        <w:rPr>
          <w:b/>
          <w:szCs w:val="28"/>
        </w:rPr>
      </w:pPr>
      <w:r>
        <w:rPr>
          <w:b/>
          <w:szCs w:val="28"/>
        </w:rPr>
      </w:r>
      <w:r>
        <w:rPr>
          <w:b/>
          <w:szCs w:val="28"/>
        </w:rPr>
      </w:r>
      <w:r>
        <w:rPr>
          <w:b/>
          <w:szCs w:val="28"/>
        </w:rPr>
      </w:r>
    </w:p>
    <w:p>
      <w:pPr>
        <w:ind w:firstLine="567"/>
        <w:jc w:val="both"/>
        <w:rPr>
          <w:szCs w:val="28"/>
        </w:rPr>
      </w:pPr>
      <w:r>
        <w:rPr>
          <w:szCs w:val="28"/>
        </w:rPr>
        <w:t xml:space="preserve">Федеральный государственный земельный контроль (надзор) в 2024 году</w:t>
      </w:r>
      <w:r>
        <w:rPr>
          <w:szCs w:val="28"/>
        </w:rPr>
        <w:t xml:space="preserve"> реализуется Управлением с учетом ограничений, установленных Постановлением Правительства РФ от 10.03.2022 № 336 «Об особенностях организации                                    и осуществления государственного контроля (надзора), муниципального контроля». </w:t>
      </w:r>
      <w:r>
        <w:rPr>
          <w:szCs w:val="28"/>
        </w:rPr>
      </w:r>
      <w:r>
        <w:rPr>
          <w:szCs w:val="28"/>
        </w:rPr>
      </w:r>
    </w:p>
    <w:p>
      <w:pPr>
        <w:ind w:firstLine="567"/>
        <w:jc w:val="both"/>
        <w:rPr>
          <w:szCs w:val="28"/>
        </w:rPr>
      </w:pPr>
      <w:r>
        <w:rPr>
          <w:szCs w:val="28"/>
        </w:rPr>
        <w:t xml:space="preserve">В связи с введенными ограничениями, в 2024 году в рамках федерального государственного земельного контроля (надзора) Управлением проводятся только внеплановые контрольные (надзорные) мероприятия. </w:t>
      </w:r>
      <w:r>
        <w:rPr>
          <w:szCs w:val="28"/>
        </w:rPr>
      </w:r>
      <w:r>
        <w:rPr>
          <w:szCs w:val="28"/>
        </w:rPr>
      </w:r>
    </w:p>
    <w:p>
      <w:pPr>
        <w:ind w:firstLine="567"/>
        <w:jc w:val="both"/>
        <w:rPr>
          <w:szCs w:val="28"/>
        </w:rPr>
      </w:pPr>
      <w:r>
        <w:rPr>
          <w:szCs w:val="28"/>
        </w:rPr>
        <w:t xml:space="preserve">Мероприятия со взаимодействием с контролируемыми лицами проводятся после согласования с органами прокуратуры. С января по </w:t>
      </w:r>
      <w:r>
        <w:rPr>
          <w:szCs w:val="28"/>
        </w:rPr>
        <w:t xml:space="preserve">ноябрь текущего года </w:t>
      </w:r>
      <w:r>
        <w:rPr>
          <w:szCs w:val="28"/>
        </w:rPr>
        <w:br/>
      </w:r>
      <w:r>
        <w:rPr>
          <w:szCs w:val="28"/>
        </w:rPr>
        <w:t xml:space="preserve">с прокуратурой Алтайского края согласовано проведение 30</w:t>
      </w:r>
      <w:r>
        <w:rPr>
          <w:szCs w:val="28"/>
        </w:rPr>
        <w:t xml:space="preserve"> внеплановых контрольных (надзорных) мероприятий.</w:t>
      </w:r>
      <w:r>
        <w:rPr>
          <w:szCs w:val="28"/>
        </w:rPr>
        <w:t xml:space="preserve"> </w:t>
      </w:r>
      <w:r>
        <w:rPr>
          <w:szCs w:val="28"/>
        </w:rPr>
      </w:r>
      <w:r>
        <w:rPr>
          <w:szCs w:val="28"/>
        </w:rPr>
      </w:r>
    </w:p>
    <w:p>
      <w:pPr>
        <w:ind w:firstLine="567"/>
        <w:jc w:val="both"/>
        <w:rPr>
          <w:szCs w:val="28"/>
        </w:rPr>
      </w:pPr>
      <w:r>
        <w:rPr>
          <w:szCs w:val="28"/>
        </w:rPr>
        <w:t xml:space="preserve">Превалирующее число мероприятий за </w:t>
      </w:r>
      <w:r>
        <w:rPr>
          <w:szCs w:val="28"/>
        </w:rPr>
        <w:t xml:space="preserve">11</w:t>
      </w:r>
      <w:r>
        <w:rPr>
          <w:szCs w:val="28"/>
        </w:rPr>
        <w:t xml:space="preserve"> месяц</w:t>
      </w:r>
      <w:r>
        <w:rPr>
          <w:szCs w:val="28"/>
        </w:rPr>
        <w:t xml:space="preserve">ев</w:t>
      </w:r>
      <w:r>
        <w:rPr>
          <w:szCs w:val="28"/>
        </w:rPr>
        <w:t xml:space="preserve"> 2024 года проводится                       без взаимодействия с контролируемыми лицами, в соответствии с Федеральным законом от 31.07.2020 № 248-ФЗ «О государственном контроле (надзоре)</w:t>
      </w:r>
      <w:r>
        <w:rPr>
          <w:szCs w:val="28"/>
        </w:rPr>
        <w:t xml:space="preserve"> </w:t>
      </w:r>
      <w:r>
        <w:rPr>
          <w:szCs w:val="28"/>
        </w:rPr>
        <w:br/>
      </w:r>
      <w:r>
        <w:rPr>
          <w:szCs w:val="28"/>
        </w:rPr>
        <w:t xml:space="preserve">и муниципальном контроле в Российской Федерации»</w:t>
      </w:r>
      <w:r>
        <w:rPr>
          <w:szCs w:val="28"/>
        </w:rPr>
        <w:t xml:space="preserve">,</w:t>
      </w:r>
      <w:r>
        <w:rPr>
          <w:szCs w:val="28"/>
        </w:rPr>
        <w:t xml:space="preserve"> деятельность Управления нацелена на профилактику нарушений.</w:t>
      </w:r>
      <w:r>
        <w:rPr>
          <w:szCs w:val="28"/>
        </w:rPr>
      </w:r>
      <w:r>
        <w:rPr>
          <w:szCs w:val="28"/>
        </w:rPr>
      </w:r>
    </w:p>
    <w:p>
      <w:pPr>
        <w:ind w:firstLine="567"/>
        <w:jc w:val="both"/>
        <w:rPr>
          <w:szCs w:val="28"/>
        </w:rPr>
      </w:pPr>
      <w:r>
        <w:rPr>
          <w:szCs w:val="28"/>
        </w:rPr>
        <w:t xml:space="preserve">Всего за 11</w:t>
      </w:r>
      <w:r>
        <w:rPr>
          <w:szCs w:val="28"/>
        </w:rPr>
        <w:t xml:space="preserve"> месяцев 2024 года проведено</w:t>
      </w:r>
      <w:r>
        <w:rPr>
          <w:szCs w:val="28"/>
        </w:rPr>
        <w:t xml:space="preserve">:</w:t>
      </w:r>
      <w:r>
        <w:rPr>
          <w:szCs w:val="28"/>
        </w:rPr>
        <w:t xml:space="preserve"> </w:t>
      </w:r>
      <w:r>
        <w:rPr>
          <w:szCs w:val="28"/>
        </w:rPr>
      </w:r>
      <w:r>
        <w:rPr>
          <w:szCs w:val="28"/>
        </w:rPr>
      </w:r>
    </w:p>
    <w:p>
      <w:pPr>
        <w:ind w:firstLine="567"/>
        <w:jc w:val="both"/>
        <w:rPr>
          <w:szCs w:val="28"/>
        </w:rPr>
      </w:pPr>
      <w:r>
        <w:rPr>
          <w:szCs w:val="28"/>
        </w:rPr>
        <w:t xml:space="preserve">5141</w:t>
      </w:r>
      <w:r>
        <w:rPr>
          <w:szCs w:val="28"/>
        </w:rPr>
        <w:t xml:space="preserve"> контрольное (надзорное) мероприяти</w:t>
      </w:r>
      <w:r>
        <w:rPr>
          <w:szCs w:val="28"/>
        </w:rPr>
        <w:t xml:space="preserve">е, в том числе </w:t>
      </w:r>
      <w:r>
        <w:rPr>
          <w:szCs w:val="28"/>
        </w:rPr>
        <w:t xml:space="preserve">5116</w:t>
      </w:r>
      <w:r>
        <w:rPr>
          <w:szCs w:val="28"/>
        </w:rPr>
        <w:t xml:space="preserve"> мероприятий</w:t>
      </w:r>
      <w:r>
        <w:rPr>
          <w:szCs w:val="28"/>
        </w:rPr>
        <w:t xml:space="preserve"> </w:t>
      </w:r>
      <w:r>
        <w:rPr>
          <w:szCs w:val="28"/>
        </w:rPr>
        <w:br/>
      </w:r>
      <w:r>
        <w:rPr>
          <w:szCs w:val="28"/>
        </w:rPr>
        <w:t xml:space="preserve">без взаимодействия</w:t>
      </w:r>
      <w:r>
        <w:rPr>
          <w:szCs w:val="28"/>
        </w:rPr>
        <w:t xml:space="preserve"> </w:t>
      </w:r>
      <w:r>
        <w:rPr>
          <w:szCs w:val="28"/>
        </w:rPr>
        <w:t xml:space="preserve">с контролируемыми лицами (</w:t>
      </w:r>
      <w:r>
        <w:rPr>
          <w:szCs w:val="28"/>
        </w:rPr>
        <w:t xml:space="preserve">2749 выездных обследований</w:t>
      </w:r>
      <w:r>
        <w:rPr>
          <w:szCs w:val="28"/>
        </w:rPr>
        <w:t xml:space="preserve"> </w:t>
      </w:r>
      <w:r>
        <w:rPr>
          <w:szCs w:val="28"/>
        </w:rPr>
        <w:br/>
      </w:r>
      <w:r>
        <w:rPr>
          <w:szCs w:val="28"/>
        </w:rPr>
        <w:t xml:space="preserve">и </w:t>
      </w:r>
      <w:r>
        <w:rPr>
          <w:szCs w:val="28"/>
        </w:rPr>
        <w:t xml:space="preserve">2367</w:t>
      </w:r>
      <w:r>
        <w:rPr>
          <w:szCs w:val="28"/>
        </w:rPr>
        <w:t xml:space="preserve"> наблюдени</w:t>
      </w:r>
      <w:r>
        <w:rPr>
          <w:szCs w:val="28"/>
        </w:rPr>
        <w:t xml:space="preserve">й</w:t>
      </w:r>
      <w:r>
        <w:rPr>
          <w:szCs w:val="28"/>
        </w:rPr>
        <w:t xml:space="preserve"> </w:t>
      </w:r>
      <w:r>
        <w:rPr>
          <w:szCs w:val="28"/>
        </w:rPr>
        <w:t xml:space="preserve">за соблюдением обязательных</w:t>
      </w:r>
      <w:r>
        <w:rPr>
          <w:szCs w:val="28"/>
        </w:rPr>
        <w:t xml:space="preserve"> </w:t>
      </w:r>
      <w:r>
        <w:rPr>
          <w:szCs w:val="28"/>
        </w:rPr>
        <w:t xml:space="preserve">требований)</w:t>
      </w:r>
      <w:r>
        <w:rPr>
          <w:szCs w:val="28"/>
        </w:rPr>
        <w:t xml:space="preserve">;</w:t>
      </w:r>
      <w:r>
        <w:rPr>
          <w:szCs w:val="28"/>
        </w:rPr>
        <w:t xml:space="preserve"> </w:t>
      </w:r>
      <w:r>
        <w:rPr>
          <w:szCs w:val="28"/>
        </w:rPr>
      </w:r>
      <w:r>
        <w:rPr>
          <w:szCs w:val="28"/>
        </w:rPr>
      </w:r>
    </w:p>
    <w:p>
      <w:pPr>
        <w:ind w:firstLine="567"/>
        <w:jc w:val="both"/>
        <w:rPr>
          <w:szCs w:val="28"/>
        </w:rPr>
      </w:pPr>
      <w:r>
        <w:rPr>
          <w:szCs w:val="28"/>
        </w:rPr>
        <w:t xml:space="preserve">25 </w:t>
      </w:r>
      <w:r>
        <w:rPr>
          <w:szCs w:val="28"/>
        </w:rPr>
        <w:t xml:space="preserve">контрольных (надзорных) мероприятий </w:t>
      </w:r>
      <w:r>
        <w:rPr>
          <w:szCs w:val="28"/>
        </w:rPr>
        <w:t xml:space="preserve">при</w:t>
      </w:r>
      <w:r>
        <w:rPr>
          <w:szCs w:val="28"/>
        </w:rPr>
        <w:t xml:space="preserve"> взаимодействи</w:t>
      </w:r>
      <w:r>
        <w:rPr>
          <w:szCs w:val="28"/>
        </w:rPr>
        <w:t xml:space="preserve">и</w:t>
      </w:r>
      <w:r>
        <w:rPr>
          <w:szCs w:val="28"/>
        </w:rPr>
        <w:t xml:space="preserve"> </w:t>
      </w:r>
      <w:r>
        <w:rPr>
          <w:szCs w:val="28"/>
        </w:rPr>
        <w:br/>
      </w:r>
      <w:r>
        <w:rPr>
          <w:szCs w:val="28"/>
        </w:rPr>
        <w:t xml:space="preserve">с контролируемыми лицами (4 выездные проверки, 16</w:t>
      </w:r>
      <w:r>
        <w:rPr>
          <w:szCs w:val="28"/>
        </w:rPr>
        <w:t xml:space="preserve"> инспекционны</w:t>
      </w:r>
      <w:r>
        <w:rPr>
          <w:szCs w:val="28"/>
        </w:rPr>
        <w:t xml:space="preserve">х</w:t>
      </w:r>
      <w:r>
        <w:rPr>
          <w:szCs w:val="28"/>
        </w:rPr>
        <w:t xml:space="preserve"> визит</w:t>
      </w:r>
      <w:r>
        <w:rPr>
          <w:szCs w:val="28"/>
        </w:rPr>
        <w:t xml:space="preserve">ов</w:t>
      </w:r>
      <w:r>
        <w:rPr>
          <w:szCs w:val="28"/>
        </w:rPr>
        <w:t xml:space="preserve"> </w:t>
      </w:r>
      <w:r>
        <w:rPr>
          <w:szCs w:val="28"/>
        </w:rPr>
        <w:br/>
      </w:r>
      <w:r>
        <w:rPr>
          <w:szCs w:val="28"/>
        </w:rPr>
        <w:t xml:space="preserve">и </w:t>
      </w:r>
      <w:r>
        <w:rPr>
          <w:szCs w:val="28"/>
        </w:rPr>
        <w:t xml:space="preserve">5 </w:t>
      </w:r>
      <w:r>
        <w:rPr>
          <w:szCs w:val="28"/>
        </w:rPr>
        <w:t xml:space="preserve">рейдовы</w:t>
      </w:r>
      <w:r>
        <w:rPr>
          <w:szCs w:val="28"/>
        </w:rPr>
        <w:t xml:space="preserve">х</w:t>
      </w:r>
      <w:r>
        <w:rPr>
          <w:szCs w:val="28"/>
        </w:rPr>
        <w:t xml:space="preserve"> осмотр</w:t>
      </w:r>
      <w:r>
        <w:rPr>
          <w:szCs w:val="28"/>
        </w:rPr>
        <w:t xml:space="preserve">ов)</w:t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ind w:firstLine="567"/>
        <w:jc w:val="both"/>
        <w:rPr>
          <w:highlight w:val="none"/>
        </w:rPr>
      </w:pPr>
      <w:r>
        <w:rPr>
          <w:szCs w:val="28"/>
        </w:rPr>
        <w:t xml:space="preserve">Признаки нарушений земельного законодательства выявлены на </w:t>
      </w:r>
      <w:r>
        <w:rPr>
          <w:szCs w:val="28"/>
        </w:rPr>
        <w:t xml:space="preserve">2676</w:t>
      </w:r>
      <w:r>
        <w:rPr>
          <w:szCs w:val="28"/>
        </w:rPr>
        <w:t xml:space="preserve"> участках, объявлено 2034</w:t>
      </w:r>
      <w:r>
        <w:rPr>
          <w:szCs w:val="28"/>
        </w:rPr>
        <w:t xml:space="preserve"> предостережения о недопустимости нарушения обязательных требований.</w:t>
      </w:r>
      <w:r>
        <w:rPr>
          <w:highlight w:val="none"/>
        </w:rPr>
      </w:r>
      <w:r>
        <w:rPr>
          <w:highlight w:val="none"/>
        </w:rPr>
      </w:r>
    </w:p>
    <w:p>
      <w:pPr>
        <w:ind w:firstLine="567"/>
        <w:jc w:val="both"/>
      </w:pPr>
      <w:r>
        <w:rPr>
          <w:szCs w:val="28"/>
          <w:highlight w:val="none"/>
        </w:rPr>
        <w:t xml:space="preserve">К административной ответственности привлечено 22 нарушителя земельного законодательства, из них 9 – за самовольное занятие земельного участка (ст. 7.1 КоАП РФ), и 13 – за использование земельного участка не по целевому назначению (ч. 1 ст. 8.8 КоАП РФ).</w:t>
      </w:r>
      <w:r>
        <w:rPr>
          <w:szCs w:val="28"/>
          <w:highlight w:val="none"/>
        </w:rPr>
      </w:r>
      <w:r/>
    </w:p>
    <w:p>
      <w:pPr>
        <w:ind w:firstLine="567"/>
        <w:jc w:val="both"/>
        <w:rPr>
          <w:b/>
          <w:szCs w:val="28"/>
        </w:rPr>
      </w:pPr>
      <w:r>
        <w:rPr>
          <w:szCs w:val="28"/>
        </w:rPr>
        <w:t xml:space="preserve">Мероприятия по федеральному государственному земельному контролю (надзору) проведены на </w:t>
      </w:r>
      <w:r>
        <w:rPr>
          <w:szCs w:val="28"/>
        </w:rPr>
        <w:t xml:space="preserve">землях</w:t>
      </w:r>
      <w:r>
        <w:rPr>
          <w:szCs w:val="28"/>
        </w:rPr>
        <w:t xml:space="preserve"> Алтайского края общей</w:t>
      </w:r>
      <w:r>
        <w:rPr>
          <w:b/>
          <w:szCs w:val="28"/>
        </w:rPr>
        <w:t xml:space="preserve"> площадью </w:t>
      </w:r>
      <w:r>
        <w:rPr>
          <w:b/>
          <w:szCs w:val="28"/>
        </w:rPr>
        <w:t xml:space="preserve">498,11</w:t>
      </w:r>
      <w:r>
        <w:rPr>
          <w:b/>
          <w:szCs w:val="28"/>
        </w:rPr>
        <w:t xml:space="preserve"> тыс. га.</w:t>
      </w:r>
      <w:r>
        <w:rPr>
          <w:b/>
          <w:szCs w:val="28"/>
        </w:rPr>
      </w:r>
      <w:r>
        <w:rPr>
          <w:b/>
          <w:szCs w:val="28"/>
        </w:rPr>
      </w:r>
    </w:p>
    <w:p>
      <w:r/>
      <w:r/>
    </w:p>
    <w:p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6480175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142825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6480174" cy="64801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510.25pt;height:510.25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ind w:firstLine="0"/>
        <w:jc w:val="left"/>
        <w:spacing w:after="0" w:line="240" w:lineRule="auto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40"/>
          <w:highlight w:val="white"/>
        </w:rPr>
      </w: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О</w:t>
      </w: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б </w:t>
      </w: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Управлении Росреестра по Алтайскому краю</w:t>
      </w:r>
      <w:r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r>
      <w:r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r>
    </w:p>
    <w:p>
      <w:pPr>
        <w:pStyle w:val="845"/>
        <w:jc w:val="both"/>
      </w:pPr>
      <w:r>
        <w:rPr>
          <w:rFonts w:eastAsia="Calibri"/>
          <w:sz w:val="22"/>
          <w:szCs w:val="22"/>
          <w:lang w:eastAsia="en-US"/>
        </w:rPr>
        <w:t xml:space="preserve">Управление Федеральной службы государственной регистрации, кадастра и картографии по Алтайскому краю (Управление Рос</w:t>
      </w:r>
      <w:r>
        <w:rPr>
          <w:rFonts w:eastAsia="Calibri"/>
          <w:sz w:val="22"/>
          <w:szCs w:val="22"/>
          <w:lang w:eastAsia="en-US"/>
        </w:rPr>
        <w:t xml:space="preserve">реестра по Алтайскому краю) является территориальным органом Федеральной службы государственной регистрации, кадастра и картографии (Росреестр), осуществляющим функции по государственной регистрации прав на недвижимое имущество и сделок с ним, по оказанию </w:t>
      </w:r>
      <w:r>
        <w:rPr>
          <w:rFonts w:eastAsia="Calibri"/>
          <w:sz w:val="22"/>
          <w:szCs w:val="22"/>
          <w:lang w:eastAsia="en-US"/>
        </w:rPr>
        <w:t xml:space="preserve">государственных услуг в 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 и картографии. Выполняет функции по организации единой</w:t>
      </w:r>
      <w:r>
        <w:rPr>
          <w:rFonts w:eastAsia="Calibri"/>
          <w:sz w:val="22"/>
          <w:szCs w:val="22"/>
          <w:lang w:eastAsia="en-US"/>
        </w:rPr>
        <w:t xml:space="preserve"> системы государственного кадастрового учета и государственной регистрации прав на недвижимое имущество, инфраструктуры пространственных данных РФ. Ведомство осуществляет федеральный государственный надзор в области геодезии и картографии, государственный </w:t>
      </w:r>
      <w:r>
        <w:rPr>
          <w:rFonts w:eastAsia="Calibri"/>
          <w:sz w:val="22"/>
          <w:szCs w:val="22"/>
          <w:lang w:eastAsia="en-US"/>
        </w:rPr>
        <w:t xml:space="preserve">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Подведомственное учреждение Управления - филиал ППК «Роскадастра» по Алтайскому краю. Руководитель Управления</w:t>
      </w:r>
      <w:r>
        <w:rPr>
          <w:rFonts w:eastAsia="Calibri"/>
          <w:color w:val="000000"/>
          <w:sz w:val="22"/>
          <w:szCs w:val="22"/>
          <w:lang w:eastAsia="en-US"/>
        </w:rPr>
        <w:t xml:space="preserve">, главный регистратор Алтайского края</w:t>
      </w:r>
      <w:r>
        <w:rPr>
          <w:rFonts w:eastAsia="Calibri"/>
          <w:sz w:val="22"/>
          <w:szCs w:val="22"/>
          <w:lang w:eastAsia="en-US"/>
        </w:rPr>
        <w:t xml:space="preserve"> – Юрий Викторович Калашников.</w:t>
      </w:r>
      <w:r/>
    </w:p>
    <w:p>
      <w:pPr>
        <w:pStyle w:val="845"/>
        <w:jc w:val="both"/>
        <w:rPr>
          <w:rFonts w:eastAsia="Calibri"/>
          <w:b/>
          <w:sz w:val="20"/>
          <w:lang w:eastAsia="sk-SK"/>
        </w:rPr>
      </w:pPr>
      <w:r>
        <w:rPr>
          <w:rFonts w:eastAsia="Calibri"/>
          <w:b/>
          <w:sz w:val="20"/>
          <w:lang w:eastAsia="sk-SK"/>
        </w:rPr>
      </w:r>
      <w:r>
        <w:rPr>
          <w:rFonts w:eastAsia="Calibri"/>
          <w:b/>
          <w:sz w:val="20"/>
          <w:lang w:eastAsia="sk-SK"/>
        </w:rPr>
      </w:r>
      <w:r>
        <w:rPr>
          <w:rFonts w:eastAsia="Calibri"/>
          <w:b/>
          <w:sz w:val="20"/>
          <w:lang w:eastAsia="sk-SK"/>
        </w:rPr>
      </w:r>
    </w:p>
    <w:p>
      <w:pPr>
        <w:pStyle w:val="845"/>
        <w:jc w:val="both"/>
      </w:pPr>
      <w:r>
        <w:rPr>
          <w:rFonts w:eastAsia="Calibri"/>
          <w:b/>
          <w:sz w:val="20"/>
          <w:lang w:eastAsia="sk-SK"/>
        </w:rPr>
        <w:t xml:space="preserve">Контакты для СМИ</w:t>
      </w:r>
      <w:r/>
    </w:p>
    <w:p>
      <w:pPr>
        <w:pStyle w:val="845"/>
      </w:pPr>
      <w:r>
        <w:rPr>
          <w:rFonts w:eastAsia="Calibri"/>
          <w:sz w:val="20"/>
          <w:lang w:eastAsia="en-US"/>
        </w:rPr>
        <w:t xml:space="preserve">Пресс-секретарь Управления Росреестра по Алтайскому краю</w:t>
        <w:br/>
      </w:r>
      <w:r>
        <w:rPr>
          <w:sz w:val="20"/>
          <w:shd w:val="clear" w:color="auto" w:fill="ffffff"/>
        </w:rPr>
        <w:t xml:space="preserve">Бучнева Анжелика Анатольевна 8 (3852) 29 17 44, 5097</w:t>
      </w:r>
      <w:r/>
    </w:p>
    <w:p>
      <w:pPr>
        <w:pStyle w:val="845"/>
      </w:pPr>
      <w:r/>
      <w:hyperlink r:id="rId11" w:tooltip="mailto:22press_rosreestr@mail.ru" w:history="1"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 xml:space="preserve">22press_rosreestr@mail.ru</w:t>
        </w:r>
      </w:hyperlink>
      <w:r>
        <w:rPr>
          <w:rFonts w:eastAsia="Calibri"/>
          <w:color w:val="0000ff"/>
          <w:sz w:val="20"/>
          <w:u w:val="single"/>
          <w:shd w:val="clear" w:color="auto" w:fill="ffffff"/>
        </w:rPr>
        <w:t xml:space="preserve"> </w:t>
      </w:r>
      <w:r>
        <w:rPr>
          <w:rFonts w:eastAsia="Calibri"/>
          <w:sz w:val="20"/>
          <w:lang w:eastAsia="en-US"/>
        </w:rPr>
        <w:t xml:space="preserve">656002, Барнаул, ул. Советская, д. 16</w:t>
      </w:r>
      <w:r/>
    </w:p>
    <w:p>
      <w:pPr>
        <w:pStyle w:val="845"/>
      </w:pPr>
      <w:r>
        <w:rPr>
          <w:rFonts w:eastAsia="Calibri"/>
          <w:sz w:val="20"/>
          <w:lang w:eastAsia="en-US"/>
        </w:rPr>
        <w:t xml:space="preserve">Сайт Росреестра:</w:t>
      </w:r>
      <w:r>
        <w:rPr>
          <w:sz w:val="20"/>
        </w:rPr>
        <w:t xml:space="preserve"> </w:t>
      </w:r>
      <w:hyperlink r:id="rId12" w:tooltip="http://www.rosreestr.gov.ru/" w:history="1">
        <w:r>
          <w:rPr>
            <w:rFonts w:eastAsia="Calibri"/>
            <w:color w:val="0000ff"/>
            <w:sz w:val="20"/>
            <w:u w:val="single"/>
            <w:shd w:val="clear" w:color="auto" w:fill="ffffff"/>
            <w:lang w:val="en-US"/>
          </w:rPr>
          <w:t xml:space="preserve">www</w:t>
        </w:r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 xml:space="preserve">.</w:t>
        </w:r>
        <w:r>
          <w:rPr>
            <w:rFonts w:eastAsia="Calibri"/>
            <w:color w:val="0000ff"/>
            <w:sz w:val="20"/>
            <w:u w:val="single"/>
            <w:shd w:val="clear" w:color="auto" w:fill="ffffff"/>
            <w:lang w:val="en-US"/>
          </w:rPr>
          <w:t xml:space="preserve">rosreestr</w:t>
        </w:r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 xml:space="preserve">.</w:t>
        </w:r>
        <w:r>
          <w:rPr>
            <w:rFonts w:eastAsia="Calibri"/>
            <w:color w:val="0000ff"/>
            <w:sz w:val="20"/>
            <w:u w:val="single"/>
            <w:shd w:val="clear" w:color="auto" w:fill="ffffff"/>
            <w:lang w:val="en-US"/>
          </w:rPr>
          <w:t xml:space="preserve">gov</w:t>
        </w:r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 xml:space="preserve">.</w:t>
        </w:r>
        <w:r>
          <w:rPr>
            <w:rFonts w:eastAsia="Calibri"/>
            <w:color w:val="0000ff"/>
            <w:sz w:val="20"/>
            <w:u w:val="single"/>
            <w:shd w:val="clear" w:color="auto" w:fill="ffffff"/>
            <w:lang w:val="en-US"/>
          </w:rPr>
          <w:t xml:space="preserve">ru</w:t>
        </w:r>
      </w:hyperlink>
      <w:r>
        <w:rPr>
          <w:rFonts w:eastAsia="Calibri"/>
          <w:color w:val="0000ff"/>
          <w:sz w:val="20"/>
          <w:u w:val="single"/>
          <w:shd w:val="clear" w:color="auto" w:fill="ffffff"/>
        </w:rPr>
        <w:br/>
      </w:r>
      <w:r>
        <w:rPr>
          <w:rFonts w:eastAsia="Calibri"/>
          <w:sz w:val="20"/>
          <w:lang w:eastAsia="en-US"/>
        </w:rPr>
        <w:t xml:space="preserve">Яндекс-Дзен:</w:t>
      </w:r>
      <w:r>
        <w:rPr>
          <w:sz w:val="20"/>
        </w:rPr>
        <w:t xml:space="preserve"> </w:t>
      </w:r>
      <w:hyperlink r:id="rId13" w:tooltip="https://dzen.ru/id/6392ad9bbc8b8d2fd42961a7" w:history="1"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 xml:space="preserve">https://dzen.ru/id/6392ad9bbc8b8d2fd42961a7</w:t>
        </w:r>
      </w:hyperlink>
      <w:r>
        <w:rPr>
          <w:rFonts w:eastAsia="Calibri"/>
          <w:color w:val="0000ff"/>
          <w:sz w:val="20"/>
          <w:u w:val="single"/>
          <w:shd w:val="clear" w:color="auto" w:fill="ffffff"/>
        </w:rPr>
        <w:tab/>
      </w:r>
      <w:r/>
    </w:p>
    <w:p>
      <w:pPr>
        <w:pStyle w:val="845"/>
      </w:pPr>
      <w:r>
        <w:rPr>
          <w:rFonts w:eastAsia="Calibri"/>
          <w:sz w:val="20"/>
          <w:lang w:eastAsia="en-US"/>
        </w:rPr>
        <w:t xml:space="preserve">ВКонтакте:</w:t>
      </w:r>
      <w:r>
        <w:rPr>
          <w:rFonts w:eastAsia="Calibri"/>
          <w:color w:val="0000ff"/>
          <w:sz w:val="20"/>
          <w:shd w:val="clear" w:color="auto" w:fill="ffffff"/>
        </w:rPr>
        <w:t xml:space="preserve"> </w:t>
      </w:r>
      <w:hyperlink r:id="rId14" w:tooltip="https://vk.com/rosreestr_altaiskii_krai" w:history="1"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 xml:space="preserve">https://vk.com/rosreestr_altaiskii_krai</w:t>
        </w:r>
      </w:hyperlink>
      <w:r>
        <w:rPr>
          <w:rFonts w:eastAsia="Calibri"/>
          <w:color w:val="0000ff"/>
          <w:sz w:val="20"/>
          <w:shd w:val="clear" w:color="auto" w:fill="ffffff"/>
        </w:rPr>
        <w:t xml:space="preserve"> </w:t>
        <w:br/>
      </w:r>
      <w:r>
        <w:rPr>
          <w:rFonts w:eastAsia="Calibri"/>
          <w:sz w:val="20"/>
          <w:lang w:eastAsia="en-US"/>
        </w:rPr>
        <w:t xml:space="preserve">Телеграм-канал:</w:t>
      </w:r>
      <w:r>
        <w:rPr>
          <w:rFonts w:eastAsia="Calibri"/>
          <w:color w:val="0000ff"/>
          <w:sz w:val="20"/>
          <w:u w:val="single"/>
          <w:shd w:val="clear" w:color="auto" w:fill="ffffff"/>
        </w:rPr>
        <w:t xml:space="preserve"> https://web.telegram.org/k/#@rosreestr_altaiskii_krai</w:t>
      </w:r>
      <w:r/>
    </w:p>
    <w:p>
      <w:pPr>
        <w:pStyle w:val="845"/>
      </w:pPr>
      <w:r>
        <w:rPr>
          <w:rFonts w:eastAsia="Calibri"/>
          <w:sz w:val="20"/>
          <w:lang w:eastAsia="en-US"/>
        </w:rPr>
        <w:t xml:space="preserve">Одноклассники:</w:t>
      </w:r>
      <w:r>
        <w:rPr>
          <w:rFonts w:eastAsia="Calibri"/>
          <w:color w:val="0000ff"/>
          <w:sz w:val="20"/>
          <w:u w:val="single"/>
          <w:shd w:val="clear" w:color="auto" w:fill="ffffff"/>
        </w:rPr>
        <w:t xml:space="preserve"> </w:t>
      </w:r>
      <w:hyperlink r:id="rId15" w:tooltip="https://ok.ru/rosreestr22alt.krai" w:history="1"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 xml:space="preserve">https://ok.ru/rosreestr22alt.krai</w:t>
        </w:r>
      </w:hyperlink>
      <w:r/>
      <w:r/>
    </w:p>
    <w:p>
      <w:pPr>
        <w:rPr>
          <w:highlight w:val="none"/>
        </w:rPr>
      </w:pPr>
      <w:r>
        <w:rPr>
          <w:rFonts w:eastAsia="Calibri"/>
          <w:color w:val="0000ff"/>
          <w:sz w:val="20"/>
          <w:u w:val="single"/>
          <w:shd w:val="clear" w:color="auto" w:fill="ffffff"/>
        </w:rPr>
        <w:t xml:space="preserve">https://vk.com/video-46688657_456239105</w:t>
      </w:r>
      <w:r>
        <w:rPr>
          <w:highlight w:val="none"/>
        </w:rPr>
      </w:r>
      <w:r>
        <w:rPr>
          <w:highlight w:val="none"/>
        </w:rPr>
      </w:r>
    </w:p>
    <w:sectPr>
      <w:footnotePr/>
      <w:endnotePr/>
      <w:type w:val="nextPage"/>
      <w:pgSz w:w="11906" w:h="16838" w:orient="portrait"/>
      <w:pgMar w:top="720" w:right="720" w:bottom="720" w:left="720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Arial">
    <w:panose1 w:val="020B0604020202020204"/>
  </w:font>
  <w:font w:name="Times New Roman">
    <w:panose1 w:val="020206030504050203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Calibri" w:hAnsi="Calibri" w:eastAsia="Calibri" w:cs="Times New Roman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54">
    <w:name w:val="Heading 1"/>
    <w:basedOn w:val="828"/>
    <w:next w:val="828"/>
    <w:link w:val="655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55">
    <w:name w:val="Heading 1 Char"/>
    <w:basedOn w:val="829"/>
    <w:link w:val="654"/>
    <w:uiPriority w:val="9"/>
    <w:rPr>
      <w:rFonts w:ascii="Arial" w:hAnsi="Arial" w:eastAsia="Arial" w:cs="Arial"/>
      <w:sz w:val="40"/>
      <w:szCs w:val="40"/>
    </w:rPr>
  </w:style>
  <w:style w:type="paragraph" w:styleId="656">
    <w:name w:val="Heading 2"/>
    <w:basedOn w:val="828"/>
    <w:next w:val="828"/>
    <w:link w:val="657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57">
    <w:name w:val="Heading 2 Char"/>
    <w:basedOn w:val="829"/>
    <w:link w:val="656"/>
    <w:uiPriority w:val="9"/>
    <w:rPr>
      <w:rFonts w:ascii="Arial" w:hAnsi="Arial" w:eastAsia="Arial" w:cs="Arial"/>
      <w:sz w:val="34"/>
    </w:rPr>
  </w:style>
  <w:style w:type="paragraph" w:styleId="658">
    <w:name w:val="Heading 3"/>
    <w:basedOn w:val="828"/>
    <w:next w:val="828"/>
    <w:link w:val="659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59">
    <w:name w:val="Heading 3 Char"/>
    <w:basedOn w:val="829"/>
    <w:link w:val="658"/>
    <w:uiPriority w:val="9"/>
    <w:rPr>
      <w:rFonts w:ascii="Arial" w:hAnsi="Arial" w:eastAsia="Arial" w:cs="Arial"/>
      <w:sz w:val="30"/>
      <w:szCs w:val="30"/>
    </w:rPr>
  </w:style>
  <w:style w:type="paragraph" w:styleId="660">
    <w:name w:val="Heading 4"/>
    <w:basedOn w:val="828"/>
    <w:next w:val="828"/>
    <w:link w:val="661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61">
    <w:name w:val="Heading 4 Char"/>
    <w:basedOn w:val="829"/>
    <w:link w:val="660"/>
    <w:uiPriority w:val="9"/>
    <w:rPr>
      <w:rFonts w:ascii="Arial" w:hAnsi="Arial" w:eastAsia="Arial" w:cs="Arial"/>
      <w:b/>
      <w:bCs/>
      <w:sz w:val="26"/>
      <w:szCs w:val="26"/>
    </w:rPr>
  </w:style>
  <w:style w:type="paragraph" w:styleId="662">
    <w:name w:val="Heading 5"/>
    <w:basedOn w:val="828"/>
    <w:next w:val="828"/>
    <w:link w:val="663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63">
    <w:name w:val="Heading 5 Char"/>
    <w:basedOn w:val="829"/>
    <w:link w:val="662"/>
    <w:uiPriority w:val="9"/>
    <w:rPr>
      <w:rFonts w:ascii="Arial" w:hAnsi="Arial" w:eastAsia="Arial" w:cs="Arial"/>
      <w:b/>
      <w:bCs/>
      <w:sz w:val="24"/>
      <w:szCs w:val="24"/>
    </w:rPr>
  </w:style>
  <w:style w:type="paragraph" w:styleId="664">
    <w:name w:val="Heading 6"/>
    <w:basedOn w:val="828"/>
    <w:next w:val="828"/>
    <w:link w:val="665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65">
    <w:name w:val="Heading 6 Char"/>
    <w:basedOn w:val="829"/>
    <w:link w:val="664"/>
    <w:uiPriority w:val="9"/>
    <w:rPr>
      <w:rFonts w:ascii="Arial" w:hAnsi="Arial" w:eastAsia="Arial" w:cs="Arial"/>
      <w:b/>
      <w:bCs/>
      <w:sz w:val="22"/>
      <w:szCs w:val="22"/>
    </w:rPr>
  </w:style>
  <w:style w:type="paragraph" w:styleId="666">
    <w:name w:val="Heading 7"/>
    <w:basedOn w:val="828"/>
    <w:next w:val="828"/>
    <w:link w:val="667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67">
    <w:name w:val="Heading 7 Char"/>
    <w:basedOn w:val="829"/>
    <w:link w:val="66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68">
    <w:name w:val="Heading 8"/>
    <w:basedOn w:val="828"/>
    <w:next w:val="828"/>
    <w:link w:val="669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69">
    <w:name w:val="Heading 8 Char"/>
    <w:basedOn w:val="829"/>
    <w:link w:val="668"/>
    <w:uiPriority w:val="9"/>
    <w:rPr>
      <w:rFonts w:ascii="Arial" w:hAnsi="Arial" w:eastAsia="Arial" w:cs="Arial"/>
      <w:i/>
      <w:iCs/>
      <w:sz w:val="22"/>
      <w:szCs w:val="22"/>
    </w:rPr>
  </w:style>
  <w:style w:type="paragraph" w:styleId="670">
    <w:name w:val="Heading 9"/>
    <w:basedOn w:val="828"/>
    <w:next w:val="828"/>
    <w:link w:val="671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71">
    <w:name w:val="Heading 9 Char"/>
    <w:basedOn w:val="829"/>
    <w:link w:val="670"/>
    <w:uiPriority w:val="9"/>
    <w:rPr>
      <w:rFonts w:ascii="Arial" w:hAnsi="Arial" w:eastAsia="Arial" w:cs="Arial"/>
      <w:i/>
      <w:iCs/>
      <w:sz w:val="21"/>
      <w:szCs w:val="21"/>
    </w:rPr>
  </w:style>
  <w:style w:type="paragraph" w:styleId="672">
    <w:name w:val="List Paragraph"/>
    <w:basedOn w:val="828"/>
    <w:uiPriority w:val="34"/>
    <w:qFormat/>
    <w:pPr>
      <w:contextualSpacing/>
      <w:ind w:left="720"/>
    </w:pPr>
  </w:style>
  <w:style w:type="paragraph" w:styleId="673">
    <w:name w:val="No Spacing"/>
    <w:uiPriority w:val="1"/>
    <w:qFormat/>
    <w:pPr>
      <w:spacing w:before="0" w:after="0" w:line="240" w:lineRule="auto"/>
    </w:pPr>
  </w:style>
  <w:style w:type="paragraph" w:styleId="674">
    <w:name w:val="Title"/>
    <w:basedOn w:val="828"/>
    <w:next w:val="828"/>
    <w:link w:val="67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75">
    <w:name w:val="Title Char"/>
    <w:basedOn w:val="829"/>
    <w:link w:val="674"/>
    <w:uiPriority w:val="10"/>
    <w:rPr>
      <w:sz w:val="48"/>
      <w:szCs w:val="48"/>
    </w:rPr>
  </w:style>
  <w:style w:type="paragraph" w:styleId="676">
    <w:name w:val="Subtitle"/>
    <w:basedOn w:val="828"/>
    <w:next w:val="828"/>
    <w:link w:val="677"/>
    <w:uiPriority w:val="11"/>
    <w:qFormat/>
    <w:pPr>
      <w:spacing w:before="200" w:after="200"/>
    </w:pPr>
    <w:rPr>
      <w:sz w:val="24"/>
      <w:szCs w:val="24"/>
    </w:rPr>
  </w:style>
  <w:style w:type="character" w:styleId="677">
    <w:name w:val="Subtitle Char"/>
    <w:basedOn w:val="829"/>
    <w:link w:val="676"/>
    <w:uiPriority w:val="11"/>
    <w:rPr>
      <w:sz w:val="24"/>
      <w:szCs w:val="24"/>
    </w:rPr>
  </w:style>
  <w:style w:type="paragraph" w:styleId="678">
    <w:name w:val="Quote"/>
    <w:basedOn w:val="828"/>
    <w:next w:val="828"/>
    <w:link w:val="679"/>
    <w:uiPriority w:val="29"/>
    <w:qFormat/>
    <w:pPr>
      <w:ind w:left="720" w:right="720"/>
    </w:pPr>
    <w:rPr>
      <w:i/>
    </w:rPr>
  </w:style>
  <w:style w:type="character" w:styleId="679">
    <w:name w:val="Quote Char"/>
    <w:link w:val="678"/>
    <w:uiPriority w:val="29"/>
    <w:rPr>
      <w:i/>
    </w:rPr>
  </w:style>
  <w:style w:type="paragraph" w:styleId="680">
    <w:name w:val="Intense Quote"/>
    <w:basedOn w:val="828"/>
    <w:next w:val="828"/>
    <w:link w:val="68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81">
    <w:name w:val="Intense Quote Char"/>
    <w:link w:val="680"/>
    <w:uiPriority w:val="30"/>
    <w:rPr>
      <w:i/>
    </w:rPr>
  </w:style>
  <w:style w:type="character" w:styleId="682">
    <w:name w:val="Header Char"/>
    <w:basedOn w:val="829"/>
    <w:link w:val="834"/>
    <w:uiPriority w:val="99"/>
  </w:style>
  <w:style w:type="character" w:styleId="683">
    <w:name w:val="Footer Char"/>
    <w:basedOn w:val="829"/>
    <w:link w:val="836"/>
    <w:uiPriority w:val="99"/>
  </w:style>
  <w:style w:type="paragraph" w:styleId="684">
    <w:name w:val="Caption"/>
    <w:basedOn w:val="828"/>
    <w:next w:val="828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85">
    <w:name w:val="Caption Char"/>
    <w:basedOn w:val="684"/>
    <w:link w:val="836"/>
    <w:uiPriority w:val="99"/>
  </w:style>
  <w:style w:type="table" w:styleId="686">
    <w:name w:val="Table Grid"/>
    <w:basedOn w:val="830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7">
    <w:name w:val="Table Grid Light"/>
    <w:basedOn w:val="83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8">
    <w:name w:val="Plain Table 1"/>
    <w:basedOn w:val="83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89">
    <w:name w:val="Plain Table 2"/>
    <w:basedOn w:val="830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0">
    <w:name w:val="Plain Table 3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91">
    <w:name w:val="Plain Table 4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2">
    <w:name w:val="Plain Table 5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93">
    <w:name w:val="Grid Table 1 Light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4">
    <w:name w:val="Grid Table 1 Light - Accent 1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5">
    <w:name w:val="Grid Table 1 Light - Accent 2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6">
    <w:name w:val="Grid Table 1 Light - Accent 3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7">
    <w:name w:val="Grid Table 1 Light - Accent 4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8">
    <w:name w:val="Grid Table 1 Light - Accent 5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9">
    <w:name w:val="Grid Table 1 Light - Accent 6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0">
    <w:name w:val="Grid Table 2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1">
    <w:name w:val="Grid Table 2 - Accent 1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2">
    <w:name w:val="Grid Table 2 - Accent 2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3">
    <w:name w:val="Grid Table 2 - Accent 3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4">
    <w:name w:val="Grid Table 2 - Accent 4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5">
    <w:name w:val="Grid Table 2 - Accent 5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6">
    <w:name w:val="Grid Table 2 - Accent 6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7">
    <w:name w:val="Grid Table 3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8">
    <w:name w:val="Grid Table 3 - Accent 1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9">
    <w:name w:val="Grid Table 3 - Accent 2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0">
    <w:name w:val="Grid Table 3 - Accent 3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1">
    <w:name w:val="Grid Table 3 - Accent 4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2">
    <w:name w:val="Grid Table 3 - Accent 5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>
    <w:name w:val="Grid Table 3 - Accent 6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>
    <w:name w:val="Grid Table 4"/>
    <w:basedOn w:val="8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15">
    <w:name w:val="Grid Table 4 - Accent 1"/>
    <w:basedOn w:val="8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16">
    <w:name w:val="Grid Table 4 - Accent 2"/>
    <w:basedOn w:val="8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17">
    <w:name w:val="Grid Table 4 - Accent 3"/>
    <w:basedOn w:val="8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18">
    <w:name w:val="Grid Table 4 - Accent 4"/>
    <w:basedOn w:val="8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19">
    <w:name w:val="Grid Table 4 - Accent 5"/>
    <w:basedOn w:val="8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20">
    <w:name w:val="Grid Table 4 - Accent 6"/>
    <w:basedOn w:val="8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21">
    <w:name w:val="Grid Table 5 Dark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22">
    <w:name w:val="Grid Table 5 Dark- Accent 1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723">
    <w:name w:val="Grid Table 5 Dark - Accent 2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24">
    <w:name w:val="Grid Table 5 Dark - Accent 3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25">
    <w:name w:val="Grid Table 5 Dark- Accent 4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26">
    <w:name w:val="Grid Table 5 Dark - Accent 5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727">
    <w:name w:val="Grid Table 5 Dark - Accent 6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28">
    <w:name w:val="Grid Table 6 Colorful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29">
    <w:name w:val="Grid Table 6 Colorful - Accent 1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30">
    <w:name w:val="Grid Table 6 Colorful - Accent 2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31">
    <w:name w:val="Grid Table 6 Colorful - Accent 3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32">
    <w:name w:val="Grid Table 6 Colorful - Accent 4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33">
    <w:name w:val="Grid Table 6 Colorful - Accent 5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4">
    <w:name w:val="Grid Table 6 Colorful - Accent 6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5">
    <w:name w:val="Grid Table 7 Colorful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Grid Table 7 Colorful - Accent 1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Grid Table 7 Colorful - Accent 2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7 Colorful - Accent 3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7 Colorful - Accent 4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7 Colorful - Accent 5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7 Colorful - Accent 6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List Table 1 Light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List Table 1 Light - Accent 1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List Table 1 Light - Accent 2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List Table 1 Light - Accent 3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List Table 1 Light - Accent 4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List Table 1 Light - Accent 5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List Table 1 Light - Accent 6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List Table 2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50">
    <w:name w:val="List Table 2 - Accent 1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51">
    <w:name w:val="List Table 2 - Accent 2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52">
    <w:name w:val="List Table 2 - Accent 3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53">
    <w:name w:val="List Table 2 - Accent 4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54">
    <w:name w:val="List Table 2 - Accent 5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55">
    <w:name w:val="List Table 2 - Accent 6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56">
    <w:name w:val="List Table 3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7">
    <w:name w:val="List Table 3 - Accent 1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8">
    <w:name w:val="List Table 3 - Accent 2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List Table 3 - Accent 3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List Table 3 - Accent 4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>
    <w:name w:val="List Table 3 - Accent 5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>
    <w:name w:val="List Table 3 - Accent 6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>
    <w:name w:val="List Table 4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List Table 4 - Accent 1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>
    <w:name w:val="List Table 4 - Accent 2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>
    <w:name w:val="List Table 4 - Accent 3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>
    <w:name w:val="List Table 4 - Accent 4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List Table 4 - Accent 5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List Table 4 - Accent 6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List Table 5 Dark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1">
    <w:name w:val="List Table 5 Dark - Accent 1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2">
    <w:name w:val="List Table 5 Dark - Accent 2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3">
    <w:name w:val="List Table 5 Dark - Accent 3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4">
    <w:name w:val="List Table 5 Dark - Accent 4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5">
    <w:name w:val="List Table 5 Dark - Accent 5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6">
    <w:name w:val="List Table 5 Dark - Accent 6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7">
    <w:name w:val="List Table 6 Colorful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78">
    <w:name w:val="List Table 6 Colorful - Accent 1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79">
    <w:name w:val="List Table 6 Colorful - Accent 2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80">
    <w:name w:val="List Table 6 Colorful - Accent 3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81">
    <w:name w:val="List Table 6 Colorful - Accent 4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82">
    <w:name w:val="List Table 6 Colorful - Accent 5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83">
    <w:name w:val="List Table 6 Colorful - Accent 6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84">
    <w:name w:val="List Table 7 Colorful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85">
    <w:name w:val="List Table 7 Colorful - Accent 1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786">
    <w:name w:val="List Table 7 Colorful - Accent 2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787">
    <w:name w:val="List Table 7 Colorful - Accent 3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788">
    <w:name w:val="List Table 7 Colorful - Accent 4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789">
    <w:name w:val="List Table 7 Colorful - Accent 5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790">
    <w:name w:val="List Table 7 Colorful - Accent 6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791">
    <w:name w:val="Lined - Accent"/>
    <w:basedOn w:val="8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2">
    <w:name w:val="Lined - Accent 1"/>
    <w:basedOn w:val="8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793">
    <w:name w:val="Lined - Accent 2"/>
    <w:basedOn w:val="8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794">
    <w:name w:val="Lined - Accent 3"/>
    <w:basedOn w:val="8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795">
    <w:name w:val="Lined - Accent 4"/>
    <w:basedOn w:val="8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796">
    <w:name w:val="Lined - Accent 5"/>
    <w:basedOn w:val="8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797">
    <w:name w:val="Lined - Accent 6"/>
    <w:basedOn w:val="8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798">
    <w:name w:val="Bordered &amp; Lined - Accent"/>
    <w:basedOn w:val="8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9">
    <w:name w:val="Bordered &amp; Lined - Accent 1"/>
    <w:basedOn w:val="8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00">
    <w:name w:val="Bordered &amp; Lined - Accent 2"/>
    <w:basedOn w:val="8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01">
    <w:name w:val="Bordered &amp; Lined - Accent 3"/>
    <w:basedOn w:val="8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02">
    <w:name w:val="Bordered &amp; Lined - Accent 4"/>
    <w:basedOn w:val="8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03">
    <w:name w:val="Bordered &amp; Lined - Accent 5"/>
    <w:basedOn w:val="8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04">
    <w:name w:val="Bordered &amp; Lined - Accent 6"/>
    <w:basedOn w:val="8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05">
    <w:name w:val="Bordered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06">
    <w:name w:val="Bordered - Accent 1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07">
    <w:name w:val="Bordered - Accent 2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08">
    <w:name w:val="Bordered - Accent 3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09">
    <w:name w:val="Bordered - Accent 4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10">
    <w:name w:val="Bordered - Accent 5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11">
    <w:name w:val="Bordered - Accent 6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12">
    <w:name w:val="Hyperlink"/>
    <w:uiPriority w:val="99"/>
    <w:unhideWhenUsed/>
    <w:rPr>
      <w:color w:val="0000ff" w:themeColor="hyperlink"/>
      <w:u w:val="single"/>
    </w:rPr>
  </w:style>
  <w:style w:type="character" w:styleId="813">
    <w:name w:val="Footnote Text Char"/>
    <w:link w:val="840"/>
    <w:uiPriority w:val="99"/>
    <w:rPr>
      <w:sz w:val="18"/>
    </w:rPr>
  </w:style>
  <w:style w:type="paragraph" w:styleId="814">
    <w:name w:val="endnote text"/>
    <w:basedOn w:val="828"/>
    <w:link w:val="815"/>
    <w:uiPriority w:val="99"/>
    <w:semiHidden/>
    <w:unhideWhenUsed/>
    <w:pPr>
      <w:spacing w:after="0" w:line="240" w:lineRule="auto"/>
    </w:pPr>
    <w:rPr>
      <w:sz w:val="20"/>
    </w:rPr>
  </w:style>
  <w:style w:type="character" w:styleId="815">
    <w:name w:val="Endnote Text Char"/>
    <w:link w:val="814"/>
    <w:uiPriority w:val="99"/>
    <w:rPr>
      <w:sz w:val="20"/>
    </w:rPr>
  </w:style>
  <w:style w:type="character" w:styleId="816">
    <w:name w:val="endnote reference"/>
    <w:basedOn w:val="829"/>
    <w:uiPriority w:val="99"/>
    <w:semiHidden/>
    <w:unhideWhenUsed/>
    <w:rPr>
      <w:vertAlign w:val="superscript"/>
    </w:rPr>
  </w:style>
  <w:style w:type="paragraph" w:styleId="817">
    <w:name w:val="toc 1"/>
    <w:basedOn w:val="828"/>
    <w:next w:val="828"/>
    <w:uiPriority w:val="39"/>
    <w:unhideWhenUsed/>
    <w:pPr>
      <w:ind w:left="0" w:right="0" w:firstLine="0"/>
      <w:spacing w:after="57"/>
    </w:pPr>
  </w:style>
  <w:style w:type="paragraph" w:styleId="818">
    <w:name w:val="toc 2"/>
    <w:basedOn w:val="828"/>
    <w:next w:val="828"/>
    <w:uiPriority w:val="39"/>
    <w:unhideWhenUsed/>
    <w:pPr>
      <w:ind w:left="283" w:right="0" w:firstLine="0"/>
      <w:spacing w:after="57"/>
    </w:pPr>
  </w:style>
  <w:style w:type="paragraph" w:styleId="819">
    <w:name w:val="toc 3"/>
    <w:basedOn w:val="828"/>
    <w:next w:val="828"/>
    <w:uiPriority w:val="39"/>
    <w:unhideWhenUsed/>
    <w:pPr>
      <w:ind w:left="567" w:right="0" w:firstLine="0"/>
      <w:spacing w:after="57"/>
    </w:pPr>
  </w:style>
  <w:style w:type="paragraph" w:styleId="820">
    <w:name w:val="toc 4"/>
    <w:basedOn w:val="828"/>
    <w:next w:val="828"/>
    <w:uiPriority w:val="39"/>
    <w:unhideWhenUsed/>
    <w:pPr>
      <w:ind w:left="850" w:right="0" w:firstLine="0"/>
      <w:spacing w:after="57"/>
    </w:pPr>
  </w:style>
  <w:style w:type="paragraph" w:styleId="821">
    <w:name w:val="toc 5"/>
    <w:basedOn w:val="828"/>
    <w:next w:val="828"/>
    <w:uiPriority w:val="39"/>
    <w:unhideWhenUsed/>
    <w:pPr>
      <w:ind w:left="1134" w:right="0" w:firstLine="0"/>
      <w:spacing w:after="57"/>
    </w:pPr>
  </w:style>
  <w:style w:type="paragraph" w:styleId="822">
    <w:name w:val="toc 6"/>
    <w:basedOn w:val="828"/>
    <w:next w:val="828"/>
    <w:uiPriority w:val="39"/>
    <w:unhideWhenUsed/>
    <w:pPr>
      <w:ind w:left="1417" w:right="0" w:firstLine="0"/>
      <w:spacing w:after="57"/>
    </w:pPr>
  </w:style>
  <w:style w:type="paragraph" w:styleId="823">
    <w:name w:val="toc 7"/>
    <w:basedOn w:val="828"/>
    <w:next w:val="828"/>
    <w:uiPriority w:val="39"/>
    <w:unhideWhenUsed/>
    <w:pPr>
      <w:ind w:left="1701" w:right="0" w:firstLine="0"/>
      <w:spacing w:after="57"/>
    </w:pPr>
  </w:style>
  <w:style w:type="paragraph" w:styleId="824">
    <w:name w:val="toc 8"/>
    <w:basedOn w:val="828"/>
    <w:next w:val="828"/>
    <w:uiPriority w:val="39"/>
    <w:unhideWhenUsed/>
    <w:pPr>
      <w:ind w:left="1984" w:right="0" w:firstLine="0"/>
      <w:spacing w:after="57"/>
    </w:pPr>
  </w:style>
  <w:style w:type="paragraph" w:styleId="825">
    <w:name w:val="toc 9"/>
    <w:basedOn w:val="828"/>
    <w:next w:val="828"/>
    <w:uiPriority w:val="39"/>
    <w:unhideWhenUsed/>
    <w:pPr>
      <w:ind w:left="2268" w:right="0" w:firstLine="0"/>
      <w:spacing w:after="57"/>
    </w:pPr>
  </w:style>
  <w:style w:type="paragraph" w:styleId="826">
    <w:name w:val="TOC Heading"/>
    <w:uiPriority w:val="39"/>
    <w:unhideWhenUsed/>
  </w:style>
  <w:style w:type="paragraph" w:styleId="827">
    <w:name w:val="table of figures"/>
    <w:basedOn w:val="828"/>
    <w:next w:val="828"/>
    <w:uiPriority w:val="99"/>
    <w:unhideWhenUsed/>
    <w:pPr>
      <w:spacing w:after="0" w:afterAutospacing="0"/>
    </w:pPr>
  </w:style>
  <w:style w:type="paragraph" w:styleId="828" w:default="1">
    <w:name w:val="Normal"/>
    <w:qFormat/>
    <w:rPr>
      <w:rFonts w:ascii="Times New Roman" w:hAnsi="Times New Roman" w:eastAsia="Times New Roman"/>
      <w:sz w:val="28"/>
    </w:rPr>
  </w:style>
  <w:style w:type="character" w:styleId="829" w:default="1">
    <w:name w:val="Default Paragraph Font"/>
    <w:uiPriority w:val="1"/>
    <w:semiHidden/>
    <w:unhideWhenUsed/>
  </w:style>
  <w:style w:type="table" w:styleId="830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31" w:default="1">
    <w:name w:val="No List"/>
    <w:uiPriority w:val="99"/>
    <w:semiHidden/>
    <w:unhideWhenUsed/>
  </w:style>
  <w:style w:type="paragraph" w:styleId="832">
    <w:name w:val="Body Text"/>
    <w:basedOn w:val="828"/>
    <w:link w:val="833"/>
    <w:pPr>
      <w:spacing w:after="120"/>
    </w:pPr>
  </w:style>
  <w:style w:type="character" w:styleId="833" w:customStyle="1">
    <w:name w:val="Основной текст Знак"/>
    <w:link w:val="832"/>
    <w:rPr>
      <w:rFonts w:ascii="Times New Roman" w:hAnsi="Times New Roman" w:eastAsia="Times New Roman"/>
      <w:sz w:val="28"/>
    </w:rPr>
  </w:style>
  <w:style w:type="paragraph" w:styleId="834">
    <w:name w:val="Header"/>
    <w:basedOn w:val="828"/>
    <w:link w:val="835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835" w:customStyle="1">
    <w:name w:val="Верхний колонтитул Знак"/>
    <w:link w:val="834"/>
    <w:uiPriority w:val="99"/>
    <w:rPr>
      <w:rFonts w:ascii="Times New Roman" w:hAnsi="Times New Roman" w:eastAsia="Times New Roman"/>
      <w:sz w:val="28"/>
    </w:rPr>
  </w:style>
  <w:style w:type="paragraph" w:styleId="836">
    <w:name w:val="Footer"/>
    <w:basedOn w:val="828"/>
    <w:link w:val="837"/>
    <w:unhideWhenUsed/>
    <w:pPr>
      <w:tabs>
        <w:tab w:val="center" w:pos="4677" w:leader="none"/>
        <w:tab w:val="right" w:pos="9355" w:leader="none"/>
      </w:tabs>
    </w:pPr>
  </w:style>
  <w:style w:type="character" w:styleId="837" w:customStyle="1">
    <w:name w:val="Нижний колонтитул Знак"/>
    <w:link w:val="836"/>
    <w:rPr>
      <w:rFonts w:ascii="Times New Roman" w:hAnsi="Times New Roman" w:eastAsia="Times New Roman"/>
      <w:sz w:val="28"/>
    </w:rPr>
  </w:style>
  <w:style w:type="paragraph" w:styleId="838">
    <w:name w:val="Balloon Text"/>
    <w:basedOn w:val="828"/>
    <w:link w:val="839"/>
    <w:uiPriority w:val="99"/>
    <w:semiHidden/>
    <w:unhideWhenUsed/>
    <w:rPr>
      <w:rFonts w:ascii="Tahoma" w:hAnsi="Tahoma" w:cs="Tahoma"/>
      <w:sz w:val="16"/>
      <w:szCs w:val="16"/>
    </w:rPr>
  </w:style>
  <w:style w:type="character" w:styleId="839" w:customStyle="1">
    <w:name w:val="Текст выноски Знак"/>
    <w:link w:val="838"/>
    <w:uiPriority w:val="99"/>
    <w:semiHidden/>
    <w:rPr>
      <w:rFonts w:ascii="Tahoma" w:hAnsi="Tahoma" w:eastAsia="Times New Roman" w:cs="Tahoma"/>
      <w:sz w:val="16"/>
      <w:szCs w:val="16"/>
    </w:rPr>
  </w:style>
  <w:style w:type="paragraph" w:styleId="840">
    <w:name w:val="footnote text"/>
    <w:basedOn w:val="828"/>
    <w:link w:val="841"/>
    <w:uiPriority w:val="99"/>
    <w:semiHidden/>
    <w:unhideWhenUsed/>
    <w:rPr>
      <w:sz w:val="20"/>
    </w:rPr>
  </w:style>
  <w:style w:type="character" w:styleId="841" w:customStyle="1">
    <w:name w:val="Текст сноски Знак"/>
    <w:basedOn w:val="829"/>
    <w:link w:val="840"/>
    <w:uiPriority w:val="99"/>
    <w:semiHidden/>
    <w:rPr>
      <w:rFonts w:ascii="Times New Roman" w:hAnsi="Times New Roman" w:eastAsia="Times New Roman"/>
    </w:rPr>
  </w:style>
  <w:style w:type="character" w:styleId="842">
    <w:name w:val="footnote reference"/>
    <w:basedOn w:val="829"/>
    <w:unhideWhenUsed/>
    <w:qFormat/>
    <w:rPr>
      <w:vertAlign w:val="superscript"/>
    </w:rPr>
  </w:style>
  <w:style w:type="paragraph" w:styleId="843">
    <w:name w:val="Normal (Web)"/>
    <w:basedOn w:val="828"/>
    <w:uiPriority w:val="99"/>
    <w:semiHidden/>
    <w:unhideWhenUsed/>
    <w:pPr>
      <w:spacing w:before="100" w:beforeAutospacing="1" w:after="100" w:afterAutospacing="1"/>
    </w:pPr>
    <w:rPr>
      <w:sz w:val="24"/>
      <w:szCs w:val="24"/>
    </w:rPr>
  </w:style>
  <w:style w:type="paragraph" w:styleId="844" w:customStyle="1">
    <w:name w:val="Default"/>
    <w:rPr>
      <w:rFonts w:ascii="Times New Roman" w:hAnsi="Times New Roman"/>
      <w:color w:val="000000"/>
      <w:sz w:val="24"/>
      <w:szCs w:val="24"/>
    </w:rPr>
  </w:style>
  <w:style w:type="paragraph" w:styleId="845" w:customStyle="1">
    <w:name w:val="Standard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8"/>
      <w:szCs w:val="20"/>
      <w:highlight w:val="none"/>
      <w:u w:val="none"/>
      <w:vertAlign w:val="baseline"/>
      <w:rtl w:val="0"/>
      <w:cs w:val="0"/>
      <w:lang w:val="ru-RU" w:eastAsia="ru-RU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customXml" Target="../customXml/item1.xml" 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hyperlink" Target="mailto:22press_rosreestr@mail.ru" TargetMode="External"/><Relationship Id="rId12" Type="http://schemas.openxmlformats.org/officeDocument/2006/relationships/hyperlink" Target="http://www.rosreestr.gov.ru/" TargetMode="External"/><Relationship Id="rId13" Type="http://schemas.openxmlformats.org/officeDocument/2006/relationships/hyperlink" Target="https://dzen.ru/id/6392ad9bbc8b8d2fd42961a7" TargetMode="External"/><Relationship Id="rId14" Type="http://schemas.openxmlformats.org/officeDocument/2006/relationships/hyperlink" Target="https://vk.com/rosreestr_altaiskii_krai" TargetMode="External"/><Relationship Id="rId15" Type="http://schemas.openxmlformats.org/officeDocument/2006/relationships/hyperlink" Target="https://ok.ru/rosreestr22alt.krai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7EF9F1-7CF1-4E7D-B549-3F700FD9A1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Company>Grizli777</Company>
  <DocSecurity>4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R22CAM03071988</dc:creator>
  <cp:revision>7</cp:revision>
  <dcterms:created xsi:type="dcterms:W3CDTF">2024-10-01T09:30:00Z</dcterms:created>
  <dcterms:modified xsi:type="dcterms:W3CDTF">2025-01-17T01:23:31Z</dcterms:modified>
</cp:coreProperties>
</file>