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666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  <w:t xml:space="preserve">    </w:t>
      </w:r>
      <w:r>
        <w:rPr>
          <w:rFonts w:ascii="Calibri" w:hAnsi="Calibri" w:eastAsia="Calibri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980489" cy="733715"/>
                <wp:effectExtent l="0" t="0" r="0" b="0"/>
                <wp:docPr id="1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1"/>
                        <a:stretch/>
                      </pic:blipFill>
                      <pic:spPr bwMode="auto">
                        <a:xfrm>
                          <a:off x="0" y="0"/>
                          <a:ext cx="1980489" cy="73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155.94pt;height:57.77pt;mso-wrap-distance-left:0.00pt;mso-wrap-distance-top:0.00pt;mso-wrap-distance-right:0.00pt;mso-wrap-distance-bottom:0.00pt;" stroked="f">
                <v:path textboxrect="0,0,0,0"/>
                <v:imagedata r:id="rId11" o:title=""/>
              </v:shape>
            </w:pict>
          </mc:Fallback>
        </mc:AlternateContent>
      </w:r>
      <w:r>
        <w:rPr>
          <w:rFonts w:eastAsia="Calibri"/>
          <w:b/>
          <w:bCs/>
          <w:szCs w:val="28"/>
        </w:rPr>
        <w:t xml:space="preserve">                                                                      </w:t>
      </w:r>
      <w:r>
        <w:rPr>
          <w:rFonts w:eastAsia="Calibri"/>
          <w:b/>
          <w:bCs/>
          <w:szCs w:val="28"/>
        </w:rPr>
      </w:r>
    </w:p>
    <w:p>
      <w:pPr>
        <w:pStyle w:val="666"/>
        <w:rPr>
          <w:rFonts w:eastAsia="Calibri"/>
          <w:b/>
          <w:bCs/>
          <w:szCs w:val="28"/>
        </w:rPr>
      </w:pPr>
      <w:r>
        <w:rPr>
          <w:rFonts w:eastAsia="Calibri"/>
          <w:b/>
          <w:bCs/>
          <w:szCs w:val="28"/>
        </w:rPr>
      </w:r>
      <w:r>
        <w:rPr>
          <w:rFonts w:eastAsia="Calibri"/>
          <w:b/>
          <w:bCs/>
          <w:szCs w:val="28"/>
        </w:rPr>
      </w:r>
    </w:p>
    <w:p>
      <w:pPr>
        <w:pStyle w:val="666"/>
        <w:jc w:val="right"/>
        <w:rPr>
          <w:rFonts w:eastAsia="Calibri"/>
          <w:b/>
          <w:bCs/>
          <w:sz w:val="32"/>
          <w:szCs w:val="28"/>
        </w:rPr>
      </w:pPr>
      <w:r>
        <w:rPr>
          <w:rFonts w:eastAsia="Calibri"/>
          <w:b/>
          <w:bCs/>
          <w:sz w:val="32"/>
          <w:szCs w:val="28"/>
        </w:rPr>
        <w:t xml:space="preserve">ПРЕСС-РЕЛИЗ</w:t>
      </w:r>
      <w:r>
        <w:rPr>
          <w:rFonts w:eastAsia="Calibri"/>
          <w:b/>
          <w:bCs/>
          <w:sz w:val="32"/>
          <w:szCs w:val="28"/>
        </w:rPr>
      </w:r>
    </w:p>
    <w:p>
      <w:pPr>
        <w:pStyle w:val="666"/>
        <w:jc w:val="right"/>
        <w:rPr>
          <w:rFonts w:eastAsia="Calibri"/>
          <w:bCs/>
          <w:szCs w:val="28"/>
        </w:rPr>
      </w:pPr>
      <w:r>
        <w:rPr>
          <w:rFonts w:eastAsia="Calibri"/>
          <w:bCs/>
          <w:szCs w:val="28"/>
        </w:rPr>
        <w:t xml:space="preserve">25</w:t>
      </w:r>
      <w:r>
        <w:rPr>
          <w:rFonts w:eastAsia="Calibri"/>
          <w:bCs/>
          <w:szCs w:val="28"/>
        </w:rPr>
        <w:t xml:space="preserve">.10.2024</w:t>
      </w:r>
      <w:r>
        <w:rPr>
          <w:rFonts w:eastAsia="Calibri"/>
          <w:bCs/>
          <w:szCs w:val="28"/>
        </w:rPr>
      </w:r>
    </w:p>
    <w:p>
      <w:pPr>
        <w:pStyle w:val="666"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666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666"/>
        <w:rPr>
          <w:b/>
          <w:szCs w:val="28"/>
        </w:rPr>
      </w:pPr>
      <w:r>
        <w:rPr>
          <w:b/>
          <w:szCs w:val="28"/>
        </w:rPr>
        <w:t xml:space="preserve">Об итогах деятельности Управления Росреестра по Алтайскому краю по привлечению арбитражных управляющих к административной ответственности за </w:t>
      </w:r>
      <w:r>
        <w:rPr>
          <w:b/>
          <w:szCs w:val="28"/>
        </w:rPr>
        <w:t xml:space="preserve">9 месяцев 2024</w:t>
      </w:r>
      <w:r>
        <w:rPr>
          <w:b/>
          <w:szCs w:val="28"/>
        </w:rPr>
        <w:t xml:space="preserve"> года</w:t>
      </w:r>
      <w:r>
        <w:rPr>
          <w:b/>
          <w:szCs w:val="28"/>
        </w:rPr>
      </w:r>
    </w:p>
    <w:p>
      <w:pPr>
        <w:pStyle w:val="666"/>
        <w:ind w:firstLine="720"/>
        <w:jc w:val="both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666"/>
        <w:ind w:firstLine="709"/>
        <w:jc w:val="both"/>
        <w:rPr>
          <w:szCs w:val="28"/>
        </w:rPr>
      </w:pPr>
      <w:r>
        <w:rPr>
          <w:szCs w:val="28"/>
        </w:rPr>
        <w:t xml:space="preserve">За </w:t>
      </w:r>
      <w:r>
        <w:rPr>
          <w:szCs w:val="28"/>
        </w:rPr>
        <w:t xml:space="preserve">3 квартала</w:t>
      </w:r>
      <w:r>
        <w:rPr>
          <w:szCs w:val="28"/>
        </w:rPr>
        <w:t xml:space="preserve"> </w:t>
      </w:r>
      <w:r>
        <w:rPr>
          <w:szCs w:val="28"/>
        </w:rPr>
        <w:t xml:space="preserve">20</w:t>
      </w:r>
      <w:r>
        <w:rPr>
          <w:szCs w:val="28"/>
        </w:rPr>
        <w:t xml:space="preserve">2</w:t>
      </w:r>
      <w:r>
        <w:rPr>
          <w:szCs w:val="28"/>
        </w:rPr>
        <w:t xml:space="preserve">2</w:t>
      </w:r>
      <w:r>
        <w:rPr>
          <w:szCs w:val="28"/>
        </w:rPr>
        <w:t xml:space="preserve">4</w:t>
      </w:r>
      <w:r>
        <w:rPr>
          <w:szCs w:val="28"/>
        </w:rPr>
        <w:t xml:space="preserve"> </w:t>
      </w:r>
      <w:r>
        <w:rPr>
          <w:szCs w:val="28"/>
        </w:rPr>
        <w:t xml:space="preserve">года в Управление</w:t>
      </w:r>
      <w:r>
        <w:rPr>
          <w:szCs w:val="28"/>
        </w:rPr>
        <w:t xml:space="preserve"> Росреестра по Алтайскому </w:t>
      </w:r>
      <w:r>
        <w:rPr>
          <w:szCs w:val="28"/>
        </w:rPr>
        <w:t xml:space="preserve">краю поступило</w:t>
      </w:r>
      <w:r>
        <w:rPr>
          <w:szCs w:val="28"/>
        </w:rPr>
        <w:t xml:space="preserve"> </w:t>
      </w:r>
      <w:r>
        <w:rPr>
          <w:szCs w:val="28"/>
        </w:rPr>
        <w:t xml:space="preserve">190</w:t>
      </w:r>
      <w:r>
        <w:rPr>
          <w:szCs w:val="28"/>
        </w:rPr>
        <w:t xml:space="preserve"> </w:t>
      </w:r>
      <w:r>
        <w:rPr>
          <w:szCs w:val="28"/>
        </w:rPr>
        <w:t xml:space="preserve">обращени</w:t>
      </w:r>
      <w:r>
        <w:rPr>
          <w:szCs w:val="28"/>
        </w:rPr>
        <w:t xml:space="preserve">й</w:t>
      </w:r>
      <w:r>
        <w:rPr>
          <w:szCs w:val="28"/>
        </w:rPr>
        <w:t xml:space="preserve">, </w:t>
      </w:r>
      <w:r>
        <w:rPr>
          <w:szCs w:val="28"/>
        </w:rPr>
        <w:t xml:space="preserve">заявлени</w:t>
      </w:r>
      <w:r>
        <w:rPr>
          <w:szCs w:val="28"/>
        </w:rPr>
        <w:t xml:space="preserve">й</w:t>
      </w:r>
      <w:r>
        <w:rPr>
          <w:szCs w:val="28"/>
        </w:rPr>
        <w:t xml:space="preserve">, жалоб на действия</w:t>
      </w:r>
      <w:r>
        <w:rPr>
          <w:szCs w:val="28"/>
        </w:rPr>
        <w:t xml:space="preserve"> (бездействие)</w:t>
      </w:r>
      <w:r>
        <w:rPr>
          <w:szCs w:val="28"/>
        </w:rPr>
        <w:t xml:space="preserve"> арбитражных управляющих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666"/>
        <w:ind w:firstLine="709"/>
        <w:jc w:val="both"/>
        <w:rPr>
          <w:szCs w:val="28"/>
        </w:rPr>
      </w:pPr>
      <w:r>
        <w:rPr>
          <w:szCs w:val="28"/>
        </w:rPr>
        <w:t xml:space="preserve">Большинство поступивших обращений составляют обращения физических лиц - </w:t>
      </w:r>
      <w:r>
        <w:rPr>
          <w:szCs w:val="28"/>
        </w:rPr>
        <w:t xml:space="preserve">154</w:t>
      </w:r>
      <w:r>
        <w:rPr>
          <w:szCs w:val="28"/>
        </w:rPr>
        <w:t xml:space="preserve">. От юридических лиц поступило </w:t>
      </w:r>
      <w:r>
        <w:rPr>
          <w:szCs w:val="28"/>
        </w:rPr>
        <w:t xml:space="preserve">3</w:t>
      </w:r>
      <w:r>
        <w:rPr>
          <w:szCs w:val="28"/>
        </w:rPr>
        <w:t xml:space="preserve">0 </w:t>
      </w:r>
      <w:r>
        <w:rPr>
          <w:szCs w:val="28"/>
        </w:rPr>
        <w:t xml:space="preserve">жалоб, из Федеральной налоговой службы -</w:t>
      </w:r>
      <w:r>
        <w:rPr>
          <w:szCs w:val="28"/>
        </w:rPr>
        <w:t xml:space="preserve"> 6</w:t>
      </w:r>
      <w:r>
        <w:rPr>
          <w:szCs w:val="28"/>
        </w:rPr>
        <w:t xml:space="preserve"> жалоб.</w:t>
      </w:r>
      <w:r>
        <w:rPr>
          <w:szCs w:val="28"/>
        </w:rPr>
      </w:r>
      <w:r>
        <w:rPr>
          <w:szCs w:val="28"/>
        </w:rPr>
      </w:r>
    </w:p>
    <w:p>
      <w:pPr>
        <w:pStyle w:val="666"/>
        <w:ind w:firstLine="709"/>
        <w:jc w:val="both"/>
        <w:rPr>
          <w:szCs w:val="28"/>
        </w:rPr>
      </w:pPr>
      <w:r>
        <w:rPr>
          <w:szCs w:val="28"/>
        </w:rPr>
        <w:t xml:space="preserve">По результатам проведенных </w:t>
      </w:r>
      <w:r>
        <w:rPr>
          <w:szCs w:val="28"/>
        </w:rPr>
        <w:t xml:space="preserve">административных </w:t>
      </w:r>
      <w:r>
        <w:rPr>
          <w:szCs w:val="28"/>
        </w:rPr>
        <w:t xml:space="preserve">расследований составлено</w:t>
      </w:r>
      <w:r>
        <w:rPr>
          <w:szCs w:val="28"/>
        </w:rPr>
        <w:t xml:space="preserve">                   </w:t>
      </w:r>
      <w:r>
        <w:rPr>
          <w:szCs w:val="28"/>
        </w:rPr>
        <w:t xml:space="preserve"> и направлено в </w:t>
      </w:r>
      <w:r>
        <w:rPr>
          <w:szCs w:val="28"/>
        </w:rPr>
        <w:t xml:space="preserve">арбитражный </w:t>
      </w:r>
      <w:r>
        <w:rPr>
          <w:szCs w:val="28"/>
        </w:rPr>
        <w:t xml:space="preserve">суд </w:t>
      </w:r>
      <w:r>
        <w:rPr>
          <w:szCs w:val="28"/>
        </w:rPr>
        <w:t xml:space="preserve">50</w:t>
      </w:r>
      <w:r>
        <w:rPr>
          <w:szCs w:val="28"/>
        </w:rPr>
        <w:t xml:space="preserve"> </w:t>
      </w:r>
      <w:r>
        <w:rPr>
          <w:szCs w:val="28"/>
        </w:rPr>
        <w:t xml:space="preserve">заявлени</w:t>
      </w:r>
      <w:r>
        <w:rPr>
          <w:szCs w:val="28"/>
        </w:rPr>
        <w:t xml:space="preserve">й</w:t>
      </w:r>
      <w:r>
        <w:rPr>
          <w:szCs w:val="28"/>
        </w:rPr>
        <w:t xml:space="preserve"> о привлечении арбитражных управляющих к административной ответственности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666"/>
        <w:ind w:firstLine="709"/>
        <w:jc w:val="both"/>
        <w:rPr>
          <w:szCs w:val="28"/>
        </w:rPr>
      </w:pPr>
      <w:r>
        <w:rPr>
          <w:szCs w:val="28"/>
        </w:rPr>
        <w:t xml:space="preserve">Арбитражным судом Алтайского края по заявлениям Управления </w:t>
      </w:r>
      <w:r>
        <w:rPr>
          <w:szCs w:val="28"/>
        </w:rPr>
        <w:t xml:space="preserve">за 9 месяцев 2024 года</w:t>
      </w:r>
      <w:r>
        <w:rPr>
          <w:szCs w:val="28"/>
        </w:rPr>
        <w:t xml:space="preserve"> </w:t>
      </w:r>
      <w:r>
        <w:rPr>
          <w:szCs w:val="28"/>
        </w:rPr>
        <w:t xml:space="preserve">7</w:t>
      </w:r>
      <w:r>
        <w:rPr>
          <w:szCs w:val="28"/>
        </w:rPr>
        <w:t xml:space="preserve"> </w:t>
      </w:r>
      <w:r>
        <w:rPr>
          <w:szCs w:val="28"/>
        </w:rPr>
        <w:t xml:space="preserve">арб</w:t>
      </w:r>
      <w:r>
        <w:rPr>
          <w:szCs w:val="28"/>
        </w:rPr>
        <w:t xml:space="preserve">итражных управляющих привлечены </w:t>
      </w:r>
      <w:r>
        <w:rPr>
          <w:szCs w:val="28"/>
        </w:rPr>
        <w:t xml:space="preserve">к административной ответственности с назначением наказания в </w:t>
      </w:r>
      <w:r>
        <w:rPr>
          <w:szCs w:val="28"/>
        </w:rPr>
        <w:t xml:space="preserve">виде дисквалификации</w:t>
      </w:r>
      <w:r>
        <w:rPr>
          <w:szCs w:val="28"/>
        </w:rPr>
        <w:t xml:space="preserve">;</w:t>
      </w:r>
      <w:r>
        <w:rPr>
          <w:szCs w:val="28"/>
        </w:rPr>
        <w:t xml:space="preserve"> </w:t>
      </w:r>
      <w:r>
        <w:rPr>
          <w:szCs w:val="28"/>
        </w:rPr>
        <w:t xml:space="preserve">1 арбитражный управляющий привлечен к административной ответственности с назначением наказания в виде административного штрафа на сумму 25000 руб.; 19</w:t>
      </w:r>
      <w:r>
        <w:rPr>
          <w:szCs w:val="28"/>
        </w:rPr>
        <w:t xml:space="preserve"> арбитражны</w:t>
      </w:r>
      <w:r>
        <w:rPr>
          <w:szCs w:val="28"/>
        </w:rPr>
        <w:t xml:space="preserve">м управляющим</w:t>
      </w:r>
      <w:r>
        <w:rPr>
          <w:szCs w:val="28"/>
        </w:rPr>
        <w:t xml:space="preserve"> </w:t>
      </w:r>
      <w:r>
        <w:rPr>
          <w:szCs w:val="28"/>
        </w:rPr>
        <w:t xml:space="preserve">назначено</w:t>
      </w:r>
      <w:r>
        <w:rPr>
          <w:szCs w:val="28"/>
        </w:rPr>
        <w:t xml:space="preserve"> наказани</w:t>
      </w:r>
      <w:r>
        <w:rPr>
          <w:szCs w:val="28"/>
        </w:rPr>
        <w:t xml:space="preserve">е</w:t>
      </w:r>
      <w:r>
        <w:rPr>
          <w:szCs w:val="28"/>
        </w:rPr>
        <w:t xml:space="preserve"> в виде предупреждения</w:t>
      </w:r>
      <w:r>
        <w:rPr>
          <w:szCs w:val="28"/>
        </w:rPr>
        <w:t xml:space="preserve">.</w:t>
      </w:r>
      <w:r>
        <w:rPr>
          <w:szCs w:val="28"/>
        </w:rPr>
      </w:r>
      <w:r>
        <w:rPr>
          <w:szCs w:val="28"/>
        </w:rPr>
      </w:r>
    </w:p>
    <w:p>
      <w:pPr>
        <w:pStyle w:val="666"/>
        <w:ind w:firstLine="709"/>
        <w:jc w:val="both"/>
        <w:rPr>
          <w:szCs w:val="28"/>
        </w:rPr>
      </w:pPr>
      <w:r>
        <w:rPr>
          <w:szCs w:val="28"/>
        </w:rPr>
        <w:t xml:space="preserve">В удовлетворении 1</w:t>
      </w:r>
      <w:r>
        <w:rPr>
          <w:szCs w:val="28"/>
        </w:rPr>
        <w:t xml:space="preserve">9</w:t>
      </w:r>
      <w:r>
        <w:rPr>
          <w:szCs w:val="28"/>
        </w:rPr>
        <w:t xml:space="preserve"> заявлений Управлению отказано, в связи с малозначительностью правонарушения по ст. 2.9. КоАП (объявлено устное замечание</w:t>
      </w:r>
      <w:r>
        <w:rPr>
          <w:szCs w:val="28"/>
        </w:rPr>
        <w:t xml:space="preserve">).</w:t>
      </w:r>
      <w:r>
        <w:rPr>
          <w:szCs w:val="28"/>
        </w:rPr>
      </w:r>
    </w:p>
    <w:p>
      <w:pPr>
        <w:pStyle w:val="666"/>
        <w:ind w:firstLine="709"/>
        <w:jc w:val="both"/>
        <w:rPr>
          <w:i/>
          <w:szCs w:val="28"/>
        </w:rPr>
      </w:pPr>
      <w:r>
        <w:rPr>
          <w:i/>
          <w:szCs w:val="28"/>
        </w:rPr>
        <w:t xml:space="preserve">«По сравнению с аналогичным периодом 2023 года, существенно снизилось количество применения арбитражным судом в отношении арбитражных управляющих устного замечания, в связи с малозначительностью </w:t>
      </w:r>
      <w:r>
        <w:rPr>
          <w:i/>
          <w:szCs w:val="28"/>
        </w:rPr>
        <w:t xml:space="preserve">совершенного </w:t>
      </w:r>
      <w:r>
        <w:rPr>
          <w:i/>
          <w:szCs w:val="28"/>
        </w:rPr>
        <w:t xml:space="preserve">правонарушения по ст. 2.9. КоАП</w:t>
      </w:r>
      <w:r>
        <w:rPr>
          <w:i/>
          <w:szCs w:val="28"/>
        </w:rPr>
        <w:t xml:space="preserve">.</w:t>
      </w:r>
      <w:r>
        <w:rPr>
          <w:i/>
          <w:szCs w:val="28"/>
        </w:rPr>
        <w:t xml:space="preserve"> </w:t>
      </w:r>
      <w:r>
        <w:rPr>
          <w:i/>
          <w:szCs w:val="28"/>
        </w:rPr>
      </w:r>
    </w:p>
    <w:p>
      <w:pPr>
        <w:pStyle w:val="666"/>
        <w:ind w:firstLine="709"/>
        <w:jc w:val="both"/>
        <w:rPr>
          <w:szCs w:val="28"/>
        </w:rPr>
      </w:pPr>
      <w:r>
        <w:rPr>
          <w:i/>
          <w:szCs w:val="28"/>
        </w:rPr>
        <w:t xml:space="preserve">Так, </w:t>
      </w:r>
      <w:r>
        <w:rPr>
          <w:i/>
          <w:szCs w:val="28"/>
        </w:rPr>
        <w:t xml:space="preserve">за 9 месяцев 2024 года вынесено 19 решений в связи с малозначительностью правонарушения, что на 36</w:t>
      </w:r>
      <w:r>
        <w:rPr>
          <w:i/>
          <w:szCs w:val="28"/>
        </w:rPr>
        <w:t xml:space="preserve">% меньше аналогичного периода 2023 года (за 9 месяцев 2023 года вынесено 30 решений о применении малозначительности)»</w:t>
      </w:r>
      <w:r>
        <w:rPr>
          <w:i/>
          <w:szCs w:val="28"/>
        </w:rPr>
        <w:t xml:space="preserve">,</w:t>
      </w:r>
      <w:r>
        <w:rPr>
          <w:szCs w:val="28"/>
        </w:rPr>
        <w:t xml:space="preserve"> -</w:t>
      </w:r>
      <w:r>
        <w:rPr>
          <w:szCs w:val="28"/>
        </w:rPr>
        <w:t xml:space="preserve"> отмечает заместитель руководителя Управления Елена Саулина.</w:t>
      </w:r>
      <w:r>
        <w:rPr>
          <w:szCs w:val="28"/>
        </w:rPr>
      </w:r>
      <w:r>
        <w:rPr>
          <w:szCs w:val="28"/>
        </w:rPr>
      </w:r>
    </w:p>
    <w:p>
      <w:pPr>
        <w:pStyle w:val="666"/>
        <w:ind w:firstLine="709"/>
        <w:jc w:val="both"/>
        <w:rPr>
          <w:szCs w:val="28"/>
        </w:rPr>
      </w:pPr>
      <w:r>
        <w:rPr>
          <w:szCs w:val="28"/>
        </w:rPr>
      </w:r>
      <w:r>
        <w:rPr>
          <w:szCs w:val="28"/>
        </w:rPr>
      </w:r>
    </w:p>
    <w:p>
      <w:pPr>
        <w:pStyle w:val="666"/>
        <w:jc w:val="both"/>
        <w:rPr>
          <w:szCs w:val="28"/>
        </w:rPr>
      </w:pPr>
      <w:r>
        <w:rPr>
          <w:szCs w:val="28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39258" cy="5339258"/>
                <wp:effectExtent l="0" t="0" r="0" b="0"/>
                <wp:docPr id="2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339258" cy="5339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20.41pt;height:420.41pt;mso-wrap-distance-left:0.00pt;mso-wrap-distance-top:0.00pt;mso-wrap-distance-right:0.00pt;mso-wrap-distance-bottom:0.00pt;" stroked="f">
                <v:path textboxrect="0,0,0,0"/>
                <v:imagedata r:id="rId12" o:title=""/>
              </v:shape>
            </w:pict>
          </mc:Fallback>
        </mc:AlternateContent>
      </w:r>
      <w:r>
        <w:rPr>
          <w:szCs w:val="28"/>
        </w:rPr>
      </w:r>
      <w:r>
        <w:rPr>
          <w:szCs w:val="28"/>
        </w:rPr>
      </w:r>
    </w:p>
    <w:p>
      <w:pPr>
        <w:pStyle w:val="666"/>
        <w:spacing w:after="200" w:line="276" w:lineRule="auto"/>
      </w:pPr>
      <w:r>
        <w:rPr>
          <w:rFonts w:eastAsia="Calibri"/>
          <w:b/>
          <w:sz w:val="22"/>
          <w:szCs w:val="22"/>
          <w:lang w:eastAsia="sk-SK"/>
        </w:rPr>
        <w:t xml:space="preserve">Об Управлении Росреестра по Алтайскому краю</w:t>
      </w:r>
      <w:r>
        <w:rPr>
          <w:color w:val="000000"/>
          <w:shd w:val="clear" w:color="auto" w:fill="ffffff"/>
        </w:rPr>
      </w:r>
      <w:r/>
    </w:p>
    <w:p>
      <w:pPr>
        <w:pStyle w:val="666"/>
        <w:jc w:val="both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t xml:space="preserve">Управление Федеральной службы государственной регистрации, кадастра и картографии по Алтайскому краю (Управление Рос</w:t>
      </w:r>
      <w:r>
        <w:rPr>
          <w:rFonts w:eastAsia="Calibri"/>
          <w:sz w:val="22"/>
          <w:szCs w:val="22"/>
          <w:lang w:eastAsia="en-US"/>
        </w:rPr>
        <w:t xml:space="preserve">реестра по Алтайскому краю) является территориальным органом Федеральной службы государственной регистрации, кадастра и картографии (Росреестр), осуществляющим функции по государственной регистрации прав на недвижимое имущество и сделок с ним, по оказанию </w:t>
      </w:r>
      <w:r>
        <w:rPr>
          <w:rFonts w:eastAsia="Calibri"/>
          <w:sz w:val="22"/>
          <w:szCs w:val="22"/>
          <w:lang w:eastAsia="en-US"/>
        </w:rPr>
        <w:t xml:space="preserve">государственных услуг в сфере осуществления государственного кадастрового учета недвижимого имущества, землеустройства, государственного мониторинга земель, государственной кадастровой оценке, геодезии и картографии. Выполняет функции по организации единой</w:t>
      </w:r>
      <w:r>
        <w:rPr>
          <w:rFonts w:eastAsia="Calibri"/>
          <w:sz w:val="22"/>
          <w:szCs w:val="22"/>
          <w:lang w:eastAsia="en-US"/>
        </w:rPr>
        <w:t xml:space="preserve"> системы государственного кадастрового учета и государственной регистрации прав на недвижимое имущество, инфраструктуры пространственных данных РФ. Ведомство осуществляет федеральный государственный надзор в области геодезии и картографии, государственный </w:t>
      </w:r>
      <w:r>
        <w:rPr>
          <w:rFonts w:eastAsia="Calibri"/>
          <w:sz w:val="22"/>
          <w:szCs w:val="22"/>
          <w:lang w:eastAsia="en-US"/>
        </w:rPr>
        <w:t xml:space="preserve">земельный надзор, государственный надзор за деятельностью саморегулируемых организаций кадастровых инженеров, оценщиков и арбитражных управляющих. Подведомственное учреждение Управления - филиал ППК «Роскадастра» по Алтайскому краю. Руководитель Управления</w:t>
      </w:r>
      <w:r>
        <w:rPr>
          <w:rFonts w:eastAsia="Calibri"/>
          <w:color w:val="000000"/>
          <w:sz w:val="22"/>
          <w:szCs w:val="22"/>
          <w:lang w:eastAsia="en-US"/>
        </w:rPr>
        <w:t xml:space="preserve">, главный регистратор Алтайского края</w:t>
      </w:r>
      <w:r>
        <w:rPr>
          <w:rFonts w:eastAsia="Calibri"/>
          <w:sz w:val="22"/>
          <w:szCs w:val="22"/>
          <w:lang w:eastAsia="en-US"/>
        </w:rPr>
        <w:t xml:space="preserve"> – Юрий Викторович Калашников.</w:t>
      </w:r>
      <w:r>
        <w:rPr>
          <w:rFonts w:eastAsia="Calibri"/>
          <w:sz w:val="22"/>
          <w:szCs w:val="22"/>
          <w:lang w:eastAsia="en-US"/>
        </w:rPr>
      </w:r>
    </w:p>
    <w:p>
      <w:pPr>
        <w:pStyle w:val="666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</w:r>
      <w:r>
        <w:rPr>
          <w:rFonts w:eastAsia="Calibri"/>
          <w:b/>
          <w:sz w:val="20"/>
          <w:lang w:eastAsia="sk-SK"/>
        </w:rPr>
      </w:r>
    </w:p>
    <w:p>
      <w:pPr>
        <w:pStyle w:val="666"/>
        <w:jc w:val="both"/>
        <w:rPr>
          <w:rFonts w:eastAsia="Calibri"/>
          <w:b/>
          <w:sz w:val="20"/>
          <w:lang w:eastAsia="sk-SK"/>
        </w:rPr>
      </w:pPr>
      <w:r>
        <w:rPr>
          <w:rFonts w:eastAsia="Calibri"/>
          <w:b/>
          <w:sz w:val="20"/>
          <w:lang w:eastAsia="sk-SK"/>
        </w:rPr>
        <w:t xml:space="preserve">Контакты для СМИ</w:t>
      </w:r>
      <w:r>
        <w:rPr>
          <w:rFonts w:eastAsia="Calibri"/>
          <w:b/>
          <w:sz w:val="20"/>
          <w:lang w:eastAsia="sk-SK"/>
        </w:rPr>
      </w:r>
    </w:p>
    <w:p>
      <w:pPr>
        <w:pStyle w:val="666"/>
        <w:rPr>
          <w:rFonts w:eastAsia="Calibri"/>
          <w:sz w:val="20"/>
          <w:lang w:eastAsia="en-US"/>
        </w:rPr>
      </w:pPr>
      <w:r>
        <w:rPr>
          <w:rFonts w:eastAsia="Calibri"/>
          <w:sz w:val="20"/>
          <w:lang w:eastAsia="en-US"/>
        </w:rPr>
        <w:t xml:space="preserve">Пресс-секретарь Управления Росреестра по Алтайскому краю</w:t>
        <w:br w:type="textWrapping" w:clear="all"/>
      </w:r>
      <w:r>
        <w:rPr>
          <w:sz w:val="20"/>
          <w:shd w:val="clear" w:color="auto" w:fill="ffffff"/>
        </w:rPr>
        <w:t xml:space="preserve">Бучнева Анжелика Анатольевна 8 (3852) 29 17 44, 5097</w:t>
      </w:r>
      <w:r>
        <w:rPr>
          <w:rFonts w:eastAsia="Calibri"/>
          <w:sz w:val="20"/>
          <w:lang w:eastAsia="en-US"/>
        </w:rPr>
      </w:r>
      <w:r>
        <w:rPr>
          <w:rFonts w:eastAsia="Calibri"/>
          <w:sz w:val="20"/>
          <w:lang w:eastAsia="en-US"/>
        </w:rPr>
      </w:r>
    </w:p>
    <w:p>
      <w:pPr>
        <w:pStyle w:val="666"/>
        <w:rPr>
          <w:rFonts w:eastAsia="Calibri"/>
          <w:sz w:val="20"/>
          <w:lang w:eastAsia="en-US"/>
        </w:rPr>
      </w:pPr>
      <w:r>
        <w:fldChar w:fldCharType="begin"/>
      </w:r>
      <w:r>
        <w:instrText xml:space="preserve"> HYPERLINK "mailto:22press_rosreestr@mail.ru" </w:instrText>
      </w:r>
      <w:r>
        <w:fldChar w:fldCharType="separate"/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22press_rosreestr@mail.ru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fldChar w:fldCharType="end"/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rPr>
          <w:rFonts w:eastAsia="Calibri"/>
          <w:sz w:val="20"/>
          <w:lang w:eastAsia="en-US"/>
        </w:rPr>
        <w:t xml:space="preserve">656002, Барнаул, ул. Советская, д. 16</w:t>
      </w:r>
      <w:r>
        <w:rPr>
          <w:rFonts w:eastAsia="Calibri"/>
          <w:sz w:val="20"/>
          <w:lang w:eastAsia="en-US"/>
        </w:rPr>
      </w:r>
    </w:p>
    <w:p>
      <w:pPr>
        <w:pStyle w:val="666"/>
        <w:rPr>
          <w:rFonts w:eastAsia="Calibri"/>
          <w:color w:val="0000ff"/>
          <w:sz w:val="20"/>
          <w:u w:val="single"/>
          <w:shd w:val="clear" w:color="auto" w:fill="ffffff"/>
        </w:rPr>
      </w:pPr>
      <w:r>
        <w:rPr>
          <w:rFonts w:eastAsia="Calibri"/>
          <w:sz w:val="20"/>
          <w:lang w:eastAsia="en-US"/>
        </w:rPr>
        <w:t xml:space="preserve">Сайт Росреестра:</w:t>
      </w:r>
      <w:r>
        <w:rPr>
          <w:sz w:val="20"/>
        </w:rPr>
        <w:t xml:space="preserve"> </w:t>
      </w:r>
      <w:r>
        <w:fldChar w:fldCharType="begin"/>
      </w:r>
      <w:r>
        <w:instrText xml:space="preserve"> HYPERLINK "http://www.rosreestr.gov.ru" </w:instrText>
      </w:r>
      <w:r>
        <w:fldChar w:fldCharType="separate"/>
      </w:r>
      <w:r>
        <w:rPr>
          <w:rFonts w:eastAsia="Calibri"/>
          <w:color w:val="0000ff"/>
          <w:sz w:val="20"/>
          <w:u w:val="single"/>
          <w:shd w:val="clear" w:color="auto" w:fill="ffffff"/>
          <w:lang w:val="en-US"/>
        </w:rPr>
        <w:t xml:space="preserve">www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.</w:t>
      </w:r>
      <w:r>
        <w:rPr>
          <w:rFonts w:eastAsia="Calibri"/>
          <w:color w:val="0000ff"/>
          <w:sz w:val="20"/>
          <w:u w:val="single"/>
          <w:shd w:val="clear" w:color="auto" w:fill="ffffff"/>
          <w:lang w:val="en-US"/>
        </w:rPr>
        <w:t xml:space="preserve">rosreestr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.</w:t>
      </w:r>
      <w:r>
        <w:rPr>
          <w:rFonts w:eastAsia="Calibri"/>
          <w:color w:val="0000ff"/>
          <w:sz w:val="20"/>
          <w:u w:val="single"/>
          <w:shd w:val="clear" w:color="auto" w:fill="ffffff"/>
          <w:lang w:val="en-US"/>
        </w:rPr>
        <w:t xml:space="preserve">gov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.</w:t>
      </w:r>
      <w:r>
        <w:rPr>
          <w:rFonts w:eastAsia="Calibri"/>
          <w:color w:val="0000ff"/>
          <w:sz w:val="20"/>
          <w:u w:val="single"/>
          <w:shd w:val="clear" w:color="auto" w:fill="ffffff"/>
          <w:lang w:val="en-US"/>
        </w:rPr>
        <w:t xml:space="preserve">ru</w:t>
      </w:r>
      <w:r>
        <w:rPr>
          <w:rFonts w:eastAsia="Calibri"/>
          <w:color w:val="0000ff"/>
          <w:sz w:val="20"/>
          <w:u w:val="single"/>
          <w:shd w:val="clear" w:color="auto" w:fill="ffffff"/>
          <w:lang w:val="en-US"/>
        </w:rPr>
        <w:fldChar w:fldCharType="end"/>
      </w:r>
      <w:r>
        <w:rPr>
          <w:rFonts w:eastAsia="Calibri"/>
          <w:color w:val="0000ff"/>
          <w:sz w:val="20"/>
          <w:u w:val="single"/>
          <w:shd w:val="clear" w:color="auto" w:fill="ffffff"/>
        </w:rPr>
        <w:br w:type="textWrapping" w:clear="all"/>
      </w:r>
      <w:r>
        <w:rPr>
          <w:rFonts w:eastAsia="Calibri"/>
          <w:sz w:val="20"/>
          <w:lang w:eastAsia="en-US"/>
        </w:rPr>
        <w:t xml:space="preserve">Яндекс-Дзен:</w:t>
      </w:r>
      <w:r>
        <w:rPr>
          <w:sz w:val="20"/>
        </w:rPr>
        <w:t xml:space="preserve"> </w:t>
      </w:r>
      <w:r>
        <w:fldChar w:fldCharType="begin"/>
      </w:r>
      <w:r>
        <w:instrText xml:space="preserve"> HYPERLINK "https://dzen.ru/id/6392ad9bbc8b8d2fd42961a7" </w:instrText>
      </w:r>
      <w:r>
        <w:fldChar w:fldCharType="separate"/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https://dzen.ru/id/6392ad9bbc8b8d2fd42961a7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fldChar w:fldCharType="end"/>
      </w:r>
      <w:r>
        <w:rPr>
          <w:rFonts w:eastAsia="Calibri"/>
          <w:color w:val="0000ff"/>
          <w:sz w:val="20"/>
          <w:u w:val="single"/>
          <w:shd w:val="clear" w:color="auto" w:fill="ffffff"/>
        </w:rPr>
        <w:tab/>
      </w:r>
      <w:r>
        <w:rPr>
          <w:rFonts w:eastAsia="Calibri"/>
          <w:color w:val="0000ff"/>
          <w:sz w:val="20"/>
          <w:u w:val="single"/>
          <w:shd w:val="clear" w:color="auto" w:fill="ffffff"/>
        </w:rPr>
      </w:r>
    </w:p>
    <w:p>
      <w:pPr>
        <w:pStyle w:val="666"/>
        <w:rPr>
          <w:rFonts w:eastAsia="Calibri"/>
          <w:color w:val="0000ff"/>
          <w:sz w:val="20"/>
          <w:u w:val="single"/>
          <w:shd w:val="clear" w:color="auto" w:fill="ffffff"/>
        </w:rPr>
      </w:pPr>
      <w:r>
        <w:rPr>
          <w:rFonts w:eastAsia="Calibri"/>
          <w:sz w:val="20"/>
          <w:lang w:eastAsia="en-US"/>
        </w:rPr>
        <w:t xml:space="preserve">ВКонтакте:</w:t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</w:r>
      <w:r>
        <w:fldChar w:fldCharType="begin"/>
      </w:r>
      <w:r>
        <w:instrText xml:space="preserve"> HYPERLINK "https://vk.com/rosreestr_altaiskii_krai" </w:instrText>
      </w:r>
      <w:r>
        <w:fldChar w:fldCharType="separate"/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https://vk.com/rosreestr_altaiskii_krai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fldChar w:fldCharType="end"/>
      </w:r>
      <w:r>
        <w:rPr>
          <w:rFonts w:eastAsia="Calibri"/>
          <w:color w:val="0000ff"/>
          <w:sz w:val="20"/>
          <w:shd w:val="clear" w:color="auto" w:fill="ffffff"/>
        </w:rPr>
        <w:t xml:space="preserve"> </w:t>
        <w:br w:type="textWrapping" w:clear="all"/>
      </w:r>
      <w:r>
        <w:rPr>
          <w:rFonts w:eastAsia="Calibri"/>
          <w:sz w:val="20"/>
          <w:lang w:eastAsia="en-US"/>
        </w:rPr>
        <w:t xml:space="preserve">Телеграм-канал: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https://web.telegram.org/k/#@rosreestr_altaiskii_krai</w:t>
      </w:r>
      <w:r>
        <w:rPr>
          <w:rFonts w:eastAsia="Calibri"/>
          <w:color w:val="0000ff"/>
          <w:sz w:val="20"/>
          <w:u w:val="single"/>
          <w:shd w:val="clear" w:color="auto" w:fill="ffffff"/>
        </w:rPr>
      </w:r>
    </w:p>
    <w:p>
      <w:pPr>
        <w:pStyle w:val="666"/>
        <w:rPr>
          <w:szCs w:val="28"/>
        </w:rPr>
      </w:pPr>
      <w:r>
        <w:rPr>
          <w:rFonts w:eastAsia="Calibri"/>
          <w:sz w:val="20"/>
          <w:lang w:eastAsia="en-US"/>
        </w:rPr>
        <w:t xml:space="preserve">Одноклассники: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 </w:t>
      </w:r>
      <w:r>
        <w:fldChar w:fldCharType="begin"/>
      </w:r>
      <w:r>
        <w:instrText xml:space="preserve"> HYPERLINK "https://ok.ru/rosreestr22alt.krai" </w:instrText>
      </w:r>
      <w:r>
        <w:fldChar w:fldCharType="separate"/>
      </w:r>
      <w:r>
        <w:rPr>
          <w:rFonts w:eastAsia="Calibri"/>
          <w:color w:val="0000ff"/>
          <w:sz w:val="20"/>
          <w:u w:val="single"/>
          <w:shd w:val="clear" w:color="auto" w:fill="ffffff"/>
        </w:rPr>
        <w:t xml:space="preserve">https://ok.ru/rosreestr22alt.krai</w:t>
      </w:r>
      <w:r>
        <w:rPr>
          <w:rFonts w:eastAsia="Calibri"/>
          <w:color w:val="0000ff"/>
          <w:sz w:val="20"/>
          <w:u w:val="single"/>
          <w:shd w:val="clear" w:color="auto" w:fill="ffffff"/>
        </w:rPr>
        <w:fldChar w:fldCharType="end"/>
      </w:r>
      <w:r>
        <w:rPr>
          <w:szCs w:val="28"/>
        </w:rPr>
        <w:t xml:space="preserve">   </w:t>
      </w:r>
      <w:r>
        <w:rPr>
          <w:szCs w:val="28"/>
        </w:rPr>
      </w:r>
    </w:p>
    <w:sectPr>
      <w:headerReference w:type="default" r:id="rId8"/>
      <w:headerReference w:type="even" r:id="rId9"/>
      <w:footerReference w:type="first" r:id="rId10"/>
      <w:footnotePr/>
      <w:endnotePr/>
      <w:type w:val="nextPage"/>
      <w:pgSz w:w="11906" w:h="16838" w:orient="portrait"/>
      <w:pgMar w:top="1134" w:right="567" w:bottom="1134" w:left="1134" w:header="709" w:footer="709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ahoma">
    <w:panose1 w:val="020B0604030504040204"/>
  </w:font>
  <w:font w:name="SimSun">
    <w:panose1 w:val="02000506000000020000"/>
  </w:font>
  <w:font w:name="Arial">
    <w:panose1 w:val="020B0604020202020204"/>
  </w:font>
  <w:font w:name="Times New Roman">
    <w:panose1 w:val="020206030504050203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4"/>
    </w:pPr>
    <w:r/>
    <w:r/>
  </w:p>
  <w:p>
    <w:pPr>
      <w:pStyle w:val="67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2"/>
      <w:rPr>
        <w:rStyle w:val="673"/>
      </w:rPr>
      <w:framePr w:wrap="around" w:vAnchor="text" w:hAnchor="margin" w:xAlign="center" w:y="1"/>
    </w:pPr>
    <w:r>
      <w:rPr>
        <w:rStyle w:val="673"/>
      </w:rPr>
      <w:fldChar w:fldCharType="begin"/>
    </w:r>
    <w:r>
      <w:rPr>
        <w:rStyle w:val="673"/>
      </w:rPr>
      <w:instrText xml:space="preserve">PAGE  </w:instrText>
    </w:r>
    <w:r>
      <w:rPr>
        <w:rStyle w:val="673"/>
      </w:rPr>
      <w:fldChar w:fldCharType="separate"/>
    </w:r>
    <w:r>
      <w:rPr>
        <w:rStyle w:val="673"/>
      </w:rPr>
      <w:t xml:space="preserve">2</w:t>
    </w:r>
    <w:r>
      <w:rPr>
        <w:rStyle w:val="673"/>
      </w:rPr>
      <w:fldChar w:fldCharType="end"/>
    </w:r>
    <w:r>
      <w:rPr>
        <w:rStyle w:val="673"/>
      </w:rPr>
    </w:r>
    <w:r>
      <w:rPr>
        <w:rStyle w:val="673"/>
      </w:rPr>
    </w:r>
  </w:p>
  <w:p>
    <w:pPr>
      <w:pStyle w:val="672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72"/>
      <w:rPr>
        <w:rStyle w:val="673"/>
      </w:rPr>
      <w:framePr w:wrap="around" w:vAnchor="text" w:hAnchor="margin" w:xAlign="center" w:y="1"/>
    </w:pPr>
    <w:r>
      <w:rPr>
        <w:rStyle w:val="673"/>
      </w:rPr>
      <w:fldChar w:fldCharType="begin"/>
    </w:r>
    <w:r>
      <w:rPr>
        <w:rStyle w:val="673"/>
      </w:rPr>
      <w:instrText xml:space="preserve">PAGE  </w:instrText>
    </w:r>
    <w:r>
      <w:rPr>
        <w:rStyle w:val="673"/>
      </w:rPr>
      <w:fldChar w:fldCharType="end"/>
    </w:r>
    <w:r>
      <w:rPr>
        <w:rStyle w:val="673"/>
      </w:rPr>
    </w:r>
    <w:r>
      <w:rPr>
        <w:rStyle w:val="673"/>
      </w:rPr>
    </w:r>
  </w:p>
  <w:p>
    <w:pPr>
      <w:pStyle w:val="672"/>
    </w:pPr>
    <w:r/>
    <w:r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66"/>
    <w:next w:val="666"/>
    <w:link w:val="14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11"/>
    <w:link w:val="13"/>
    <w:uiPriority w:val="9"/>
    <w:rPr>
      <w:rFonts w:ascii="Arial" w:hAnsi="Arial" w:eastAsia="Arial" w:cs="Arial"/>
      <w:sz w:val="40"/>
      <w:szCs w:val="40"/>
    </w:rPr>
  </w:style>
  <w:style w:type="paragraph" w:styleId="15">
    <w:name w:val="Heading 2"/>
    <w:basedOn w:val="666"/>
    <w:next w:val="666"/>
    <w:link w:val="1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11"/>
    <w:link w:val="15"/>
    <w:uiPriority w:val="9"/>
    <w:rPr>
      <w:rFonts w:ascii="Arial" w:hAnsi="Arial" w:eastAsia="Arial" w:cs="Arial"/>
      <w:sz w:val="34"/>
    </w:rPr>
  </w:style>
  <w:style w:type="paragraph" w:styleId="17">
    <w:name w:val="Heading 3"/>
    <w:basedOn w:val="666"/>
    <w:next w:val="666"/>
    <w:link w:val="18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11"/>
    <w:link w:val="17"/>
    <w:uiPriority w:val="9"/>
    <w:rPr>
      <w:rFonts w:ascii="Arial" w:hAnsi="Arial" w:eastAsia="Arial" w:cs="Arial"/>
      <w:sz w:val="30"/>
      <w:szCs w:val="30"/>
    </w:rPr>
  </w:style>
  <w:style w:type="paragraph" w:styleId="19">
    <w:name w:val="Heading 4"/>
    <w:basedOn w:val="666"/>
    <w:next w:val="666"/>
    <w:link w:val="2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11"/>
    <w:link w:val="19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66"/>
    <w:next w:val="666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11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66"/>
    <w:next w:val="666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11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66"/>
    <w:next w:val="666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11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66"/>
    <w:next w:val="666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11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66"/>
    <w:next w:val="666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11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66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paragraph" w:styleId="34">
    <w:name w:val="Title"/>
    <w:basedOn w:val="666"/>
    <w:next w:val="666"/>
    <w:link w:val="3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5">
    <w:name w:val="Title Char"/>
    <w:basedOn w:val="11"/>
    <w:link w:val="34"/>
    <w:uiPriority w:val="10"/>
    <w:rPr>
      <w:sz w:val="48"/>
      <w:szCs w:val="48"/>
    </w:rPr>
  </w:style>
  <w:style w:type="paragraph" w:styleId="36">
    <w:name w:val="Subtitle"/>
    <w:basedOn w:val="666"/>
    <w:next w:val="666"/>
    <w:link w:val="37"/>
    <w:uiPriority w:val="11"/>
    <w:qFormat/>
    <w:pPr>
      <w:spacing w:before="200" w:after="200"/>
    </w:pPr>
    <w:rPr>
      <w:sz w:val="24"/>
      <w:szCs w:val="24"/>
    </w:rPr>
  </w:style>
  <w:style w:type="character" w:styleId="37">
    <w:name w:val="Subtitle Char"/>
    <w:basedOn w:val="11"/>
    <w:link w:val="36"/>
    <w:uiPriority w:val="11"/>
    <w:rPr>
      <w:sz w:val="24"/>
      <w:szCs w:val="24"/>
    </w:rPr>
  </w:style>
  <w:style w:type="paragraph" w:styleId="38">
    <w:name w:val="Quote"/>
    <w:basedOn w:val="666"/>
    <w:next w:val="666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66"/>
    <w:next w:val="666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paragraph" w:styleId="42">
    <w:name w:val="Header"/>
    <w:basedOn w:val="666"/>
    <w:link w:val="4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Header Char"/>
    <w:basedOn w:val="11"/>
    <w:link w:val="42"/>
    <w:uiPriority w:val="99"/>
  </w:style>
  <w:style w:type="paragraph" w:styleId="44">
    <w:name w:val="Footer"/>
    <w:basedOn w:val="666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11"/>
    <w:link w:val="44"/>
    <w:uiPriority w:val="99"/>
  </w:style>
  <w:style w:type="paragraph" w:styleId="46">
    <w:name w:val="Caption"/>
    <w:basedOn w:val="666"/>
    <w:next w:val="666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44"/>
    <w:uiPriority w:val="99"/>
  </w:style>
  <w:style w:type="table" w:styleId="48">
    <w:name w:val="Table Grid"/>
    <w:basedOn w:val="3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Table Grid Light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3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3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3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3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4">
    <w:name w:val="Hyperlink"/>
    <w:uiPriority w:val="99"/>
    <w:unhideWhenUsed/>
    <w:rPr>
      <w:color w:val="0000ff" w:themeColor="hyperlink"/>
      <w:u w:val="single"/>
    </w:rPr>
  </w:style>
  <w:style w:type="paragraph" w:styleId="175">
    <w:name w:val="footnote text"/>
    <w:basedOn w:val="666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11"/>
    <w:uiPriority w:val="99"/>
    <w:unhideWhenUsed/>
    <w:rPr>
      <w:vertAlign w:val="superscript"/>
    </w:rPr>
  </w:style>
  <w:style w:type="paragraph" w:styleId="178">
    <w:name w:val="endnote text"/>
    <w:basedOn w:val="666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11"/>
    <w:uiPriority w:val="99"/>
    <w:semiHidden/>
    <w:unhideWhenUsed/>
    <w:rPr>
      <w:vertAlign w:val="superscript"/>
    </w:rPr>
  </w:style>
  <w:style w:type="paragraph" w:styleId="181">
    <w:name w:val="toc 1"/>
    <w:basedOn w:val="666"/>
    <w:next w:val="666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66"/>
    <w:next w:val="666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66"/>
    <w:next w:val="666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66"/>
    <w:next w:val="666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66"/>
    <w:next w:val="666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66"/>
    <w:next w:val="666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66"/>
    <w:next w:val="666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66"/>
    <w:next w:val="666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66"/>
    <w:next w:val="666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66"/>
    <w:next w:val="666"/>
    <w:uiPriority w:val="99"/>
    <w:unhideWhenUsed/>
    <w:pPr>
      <w:spacing w:after="0" w:afterAutospacing="0"/>
    </w:pPr>
  </w:style>
  <w:style w:type="paragraph" w:styleId="666" w:default="1">
    <w:name w:val="Normal"/>
    <w:next w:val="666"/>
    <w:link w:val="666"/>
    <w:qFormat/>
    <w:rPr>
      <w:sz w:val="28"/>
      <w:lang w:val="ru-RU" w:eastAsia="ru-RU" w:bidi="ar-SA"/>
    </w:rPr>
  </w:style>
  <w:style w:type="paragraph" w:styleId="667">
    <w:name w:val="Заголовок 1"/>
    <w:basedOn w:val="666"/>
    <w:next w:val="666"/>
    <w:link w:val="666"/>
    <w:qFormat/>
    <w:pPr>
      <w:keepNext/>
      <w:outlineLvl w:val="0"/>
    </w:pPr>
    <w:rPr>
      <w:szCs w:val="24"/>
    </w:rPr>
  </w:style>
  <w:style w:type="character" w:styleId="668">
    <w:name w:val="Основной шрифт абзаца"/>
    <w:next w:val="668"/>
    <w:link w:val="666"/>
    <w:semiHidden/>
  </w:style>
  <w:style w:type="table" w:styleId="669">
    <w:name w:val="Обычная таблица"/>
    <w:next w:val="669"/>
    <w:link w:val="666"/>
    <w:semiHidden/>
    <w:tblPr/>
  </w:style>
  <w:style w:type="numbering" w:styleId="670">
    <w:name w:val="Нет списка"/>
    <w:next w:val="670"/>
    <w:link w:val="666"/>
    <w:semiHidden/>
  </w:style>
  <w:style w:type="paragraph" w:styleId="671">
    <w:name w:val="Основной текст с отступом"/>
    <w:basedOn w:val="666"/>
    <w:next w:val="671"/>
    <w:link w:val="666"/>
    <w:pPr>
      <w:ind w:left="6120" w:hanging="6120"/>
    </w:pPr>
    <w:rPr>
      <w:szCs w:val="24"/>
    </w:rPr>
  </w:style>
  <w:style w:type="paragraph" w:styleId="672">
    <w:name w:val="Верхний колонтитул"/>
    <w:basedOn w:val="666"/>
    <w:next w:val="672"/>
    <w:link w:val="666"/>
    <w:pPr>
      <w:tabs>
        <w:tab w:val="center" w:pos="4677" w:leader="none"/>
        <w:tab w:val="right" w:pos="9355" w:leader="none"/>
      </w:tabs>
    </w:pPr>
  </w:style>
  <w:style w:type="character" w:styleId="673">
    <w:name w:val="Номер страницы"/>
    <w:basedOn w:val="668"/>
    <w:next w:val="673"/>
    <w:link w:val="666"/>
  </w:style>
  <w:style w:type="paragraph" w:styleId="674">
    <w:name w:val="Нижний колонтитул"/>
    <w:basedOn w:val="666"/>
    <w:next w:val="674"/>
    <w:link w:val="666"/>
    <w:pPr>
      <w:tabs>
        <w:tab w:val="center" w:pos="4677" w:leader="none"/>
        <w:tab w:val="right" w:pos="9355" w:leader="none"/>
      </w:tabs>
    </w:pPr>
  </w:style>
  <w:style w:type="paragraph" w:styleId="675">
    <w:name w:val=" Знак"/>
    <w:basedOn w:val="666"/>
    <w:next w:val="675"/>
    <w:link w:val="666"/>
    <w:pPr>
      <w:jc w:val="both"/>
      <w:widowControl w:val="off"/>
    </w:pPr>
    <w:rPr>
      <w:rFonts w:ascii="Arial" w:hAnsi="Arial" w:eastAsia="SimSun" w:cs="Arial"/>
      <w:sz w:val="21"/>
      <w:szCs w:val="24"/>
      <w:lang w:val="en-US" w:eastAsia="zh-CN"/>
    </w:rPr>
  </w:style>
  <w:style w:type="table" w:styleId="676">
    <w:name w:val="Сетка таблицы"/>
    <w:basedOn w:val="669"/>
    <w:next w:val="676"/>
    <w:link w:val="666"/>
    <w:tblPr/>
  </w:style>
  <w:style w:type="paragraph" w:styleId="677">
    <w:name w:val="Обычный (веб)"/>
    <w:basedOn w:val="666"/>
    <w:next w:val="677"/>
    <w:link w:val="666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character" w:styleId="678">
    <w:name w:val="Гиперссылка"/>
    <w:next w:val="678"/>
    <w:link w:val="666"/>
    <w:uiPriority w:val="99"/>
    <w:unhideWhenUsed/>
    <w:rPr>
      <w:color w:val="0000ff"/>
      <w:u w:val="single"/>
    </w:rPr>
  </w:style>
  <w:style w:type="paragraph" w:styleId="679">
    <w:name w:val="Текст выноски"/>
    <w:basedOn w:val="666"/>
    <w:next w:val="679"/>
    <w:link w:val="680"/>
    <w:rPr>
      <w:rFonts w:ascii="Tahoma" w:hAnsi="Tahoma" w:cs="Tahoma"/>
      <w:sz w:val="16"/>
      <w:szCs w:val="16"/>
    </w:rPr>
  </w:style>
  <w:style w:type="character" w:styleId="680">
    <w:name w:val="Текст выноски Знак"/>
    <w:next w:val="680"/>
    <w:link w:val="679"/>
    <w:rPr>
      <w:rFonts w:ascii="Tahoma" w:hAnsi="Tahoma" w:cs="Tahoma"/>
      <w:sz w:val="16"/>
      <w:szCs w:val="16"/>
    </w:rPr>
  </w:style>
  <w:style w:type="paragraph" w:styleId="681">
    <w:name w:val="Текст сноски"/>
    <w:basedOn w:val="666"/>
    <w:next w:val="681"/>
    <w:link w:val="682"/>
    <w:rPr>
      <w:sz w:val="20"/>
    </w:rPr>
  </w:style>
  <w:style w:type="character" w:styleId="682">
    <w:name w:val="Текст сноски Знак"/>
    <w:basedOn w:val="668"/>
    <w:next w:val="682"/>
    <w:link w:val="681"/>
  </w:style>
  <w:style w:type="character" w:styleId="683">
    <w:name w:val="Знак сноски"/>
    <w:next w:val="683"/>
    <w:link w:val="666"/>
    <w:rPr>
      <w:vertAlign w:val="superscript"/>
    </w:rPr>
  </w:style>
  <w:style w:type="character" w:styleId="943" w:default="1">
    <w:name w:val="Default Paragraph Font"/>
    <w:uiPriority w:val="1"/>
    <w:semiHidden/>
    <w:unhideWhenUsed/>
  </w:style>
  <w:style w:type="numbering" w:styleId="944" w:default="1">
    <w:name w:val="No List"/>
    <w:uiPriority w:val="99"/>
    <w:semiHidden/>
    <w:unhideWhenUsed/>
  </w:style>
  <w:style w:type="table" w:styleId="945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header" Target="header1.xml" /><Relationship Id="rId9" Type="http://schemas.openxmlformats.org/officeDocument/2006/relationships/header" Target="header2.xml" /><Relationship Id="rId10" Type="http://schemas.openxmlformats.org/officeDocument/2006/relationships/footer" Target="footer1.xml" /><Relationship Id="rId11" Type="http://schemas.openxmlformats.org/officeDocument/2006/relationships/image" Target="media/image1.png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">
  <a:themeElements>
    <a:clrScheme name="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rgbClr val="000000"/>
        </a:solidFill>
        <a:solidFill>
          <a:srgbClr val="000000"/>
        </a:soli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Р7-Офис/2024.3.1.523</Application>
  <Company>frs</Company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Управление</dc:title>
  <dc:creator>PETRENKO</dc:creator>
  <cp:revision>6</cp:revision>
  <dcterms:created xsi:type="dcterms:W3CDTF">2024-10-15T04:36:00Z</dcterms:created>
  <dcterms:modified xsi:type="dcterms:W3CDTF">2024-10-28T09:13:25Z</dcterms:modified>
  <cp:version>917504</cp:version>
</cp:coreProperties>
</file>